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64F09E" w14:textId="77777777" w:rsidR="00766A5B" w:rsidRDefault="00766A5B">
      <w:pPr>
        <w:spacing w:after="120" w:line="276" w:lineRule="auto"/>
      </w:pPr>
    </w:p>
    <w:p w14:paraId="026FE399" w14:textId="77777777" w:rsidR="008E07A3" w:rsidRDefault="008E07A3">
      <w:pPr>
        <w:spacing w:after="120" w:line="276" w:lineRule="auto"/>
      </w:pPr>
    </w:p>
    <w:p w14:paraId="197B2459" w14:textId="77777777" w:rsidR="008E07A3" w:rsidRDefault="008E07A3">
      <w:pPr>
        <w:spacing w:after="120" w:line="276" w:lineRule="auto"/>
      </w:pPr>
    </w:p>
    <w:p w14:paraId="242E33EA" w14:textId="77777777" w:rsidR="008E07A3" w:rsidRDefault="008E07A3" w:rsidP="008E07A3">
      <w:pPr>
        <w:pStyle w:val="Titre1"/>
        <w:spacing w:before="200" w:line="276" w:lineRule="auto"/>
      </w:pPr>
    </w:p>
    <w:p w14:paraId="1B8A70BA" w14:textId="77777777" w:rsidR="008E07A3" w:rsidRDefault="008E07A3" w:rsidP="008E07A3">
      <w:pPr>
        <w:pStyle w:val="Titre1"/>
        <w:spacing w:before="200" w:line="276" w:lineRule="auto"/>
      </w:pPr>
    </w:p>
    <w:p w14:paraId="29134572" w14:textId="77777777" w:rsidR="00864DAC" w:rsidRDefault="00000000">
      <w:pPr>
        <w:pStyle w:val="En-ttedetabledesmatires"/>
        <w:spacing w:after="40" w:line="276" w:lineRule="auto"/>
      </w:pPr>
      <w:r>
        <w:rPr>
          <w:rFonts w:eastAsia="Aptos" w:cs="Aptos"/>
        </w:rPr>
        <w:t>Table des matières</w:t>
      </w:r>
    </w:p>
    <w:p w14:paraId="635BF0E4" w14:textId="77777777" w:rsidR="008E07A3" w:rsidRPr="00F20569" w:rsidRDefault="00F20569" w:rsidP="00F20569">
      <w:pPr>
        <w:pStyle w:val="Titre1"/>
        <w:spacing w:before="200" w:line="276" w:lineRule="auto"/>
        <w:jc w:val="center"/>
        <w:rPr>
          <w:color w:val="auto"/>
        </w:rPr>
      </w:pPr>
      <w:bookmarkStart w:id="0" w:name="_Toc203495533"/>
      <w:bookmarkStart w:id="1" w:name="_Toc224041907"/>
      <w:bookmarkEnd w:id="0"/>
      <w:r>
        <w:rPr>
          <w:rFonts w:ascii="Aptos" w:eastAsia="Aptos" w:hAnsi="Aptos" w:cs="Aptos"/>
        </w:rPr>
        <w:t>Fédération AGIRC-ARRCO</w:t>
      </w:r>
      <w:bookmarkEnd w:id="1"/>
    </w:p>
    <w:p w14:paraId="593549CC" w14:textId="77777777" w:rsidR="00F20569" w:rsidRPr="00F20569" w:rsidRDefault="00F20569" w:rsidP="00F20569">
      <w:pPr>
        <w:pStyle w:val="Titre1"/>
        <w:spacing w:before="200" w:line="276" w:lineRule="auto"/>
        <w:jc w:val="center"/>
        <w:rPr>
          <w:color w:val="auto"/>
          <w:sz w:val="28"/>
          <w:szCs w:val="20"/>
        </w:rPr>
      </w:pPr>
      <w:bookmarkStart w:id="2" w:name="_Toc224041908"/>
      <w:r>
        <w:rPr>
          <w:rFonts w:ascii="Aptos" w:eastAsia="Aptos" w:hAnsi="Aptos" w:cs="Aptos"/>
        </w:rPr>
        <w:t>Code affaire de l’Appel d’offres</w:t>
      </w:r>
      <w:bookmarkEnd w:id="2"/>
    </w:p>
    <w:p w14:paraId="6C5CF152" w14:textId="77777777" w:rsidR="00F20569" w:rsidRPr="00F20569" w:rsidRDefault="00F20569" w:rsidP="00F20569">
      <w:pPr>
        <w:spacing w:after="120" w:line="276" w:lineRule="auto"/>
        <w:jc w:val="center"/>
        <w:rPr>
          <w:sz w:val="28"/>
          <w:szCs w:val="20"/>
        </w:rPr>
      </w:pPr>
      <w:r>
        <w:rPr>
          <w:rFonts w:eastAsia="Aptos" w:cs="Aptos"/>
        </w:rPr>
        <w:t>2026-02-SAD-008</w:t>
      </w:r>
    </w:p>
    <w:p w14:paraId="44A2CB4D" w14:textId="77777777" w:rsidR="00F20569" w:rsidRPr="00F20569" w:rsidRDefault="00F20569" w:rsidP="00F20569">
      <w:pPr>
        <w:pStyle w:val="Titre1"/>
        <w:spacing w:before="200" w:line="276" w:lineRule="auto"/>
        <w:jc w:val="center"/>
        <w:rPr>
          <w:color w:val="auto"/>
          <w:sz w:val="28"/>
          <w:szCs w:val="20"/>
        </w:rPr>
      </w:pPr>
      <w:bookmarkStart w:id="3" w:name="_Toc224041909"/>
      <w:r>
        <w:rPr>
          <w:rFonts w:ascii="Aptos" w:eastAsia="Aptos" w:hAnsi="Aptos" w:cs="Aptos"/>
        </w:rPr>
        <w:t>Intitulé de l’appel d’offres</w:t>
      </w:r>
      <w:bookmarkEnd w:id="3"/>
    </w:p>
    <w:p w14:paraId="345E3432" w14:textId="77777777" w:rsidR="008E07A3" w:rsidRDefault="008E07A3" w:rsidP="008E07A3">
      <w:pPr>
        <w:spacing w:after="120" w:line="276" w:lineRule="auto"/>
        <w:jc w:val="center"/>
      </w:pPr>
      <w:r>
        <w:rPr>
          <w:rFonts w:eastAsia="Aptos" w:cs="Aptos"/>
        </w:rPr>
        <w:t>UI Designer transverse - Services connectés</w:t>
      </w:r>
    </w:p>
    <w:sdt>
      <w:sdtPr>
        <w:rPr>
          <w:rFonts w:asciiTheme="minorHAnsi" w:eastAsiaTheme="minorHAnsi" w:hAnsiTheme="minorHAnsi" w:cstheme="minorBidi"/>
          <w:color w:val="auto"/>
          <w:kern w:val="2"/>
          <w:szCs w:val="24"/>
          <w:lang w:eastAsia="en-US"/>
          <w14:ligatures w14:val="standardContextual"/>
        </w:rPr>
        <w:id w:val="1495220758"/>
        <w:docPartObj>
          <w:docPartGallery w:val="Table of Contents"/>
          <w:docPartUnique/>
        </w:docPartObj>
      </w:sdtPr>
      <w:sdtEndPr>
        <w:rPr>
          <w:b/>
          <w:bCs/>
        </w:rPr>
      </w:sdtEndPr>
      <w:sdtContent>
        <w:p w14:paraId="1D05393C" w14:textId="77777777" w:rsidR="008E1F34" w:rsidRDefault="008E1F34">
          <w:pPr>
            <w:pStyle w:val="En-ttedetabledesmatires"/>
          </w:pPr>
          <w:r>
            <w:t>Table des matières</w:t>
          </w:r>
        </w:p>
        <w:p w14:paraId="6C7168D1" w14:textId="3F72A358" w:rsidR="00AD2FFC" w:rsidRDefault="008E1F34">
          <w:pPr>
            <w:pStyle w:val="TM1"/>
            <w:tabs>
              <w:tab w:val="right" w:leader="dot" w:pos="9062"/>
            </w:tabs>
            <w:rPr>
              <w:rFonts w:asciiTheme="minorHAnsi" w:eastAsiaTheme="minorEastAsia" w:hAnsiTheme="minorHAnsi"/>
              <w:noProof/>
              <w:lang w:eastAsia="fr-FR"/>
            </w:rPr>
          </w:pPr>
          <w:r>
            <w:fldChar w:fldCharType="begin"/>
          </w:r>
          <w:r>
            <w:instrText xml:space="preserve"> TOC \o "1-3" \h \z \u </w:instrText>
          </w:r>
          <w:r>
            <w:fldChar w:fldCharType="separate"/>
          </w:r>
          <w:hyperlink w:anchor="_Toc224041907" w:history="1">
            <w:r w:rsidR="00AD2FFC" w:rsidRPr="000B02A0">
              <w:rPr>
                <w:rStyle w:val="Lienhypertexte"/>
                <w:rFonts w:eastAsia="Aptos" w:cs="Aptos"/>
                <w:noProof/>
              </w:rPr>
              <w:t>Fédération AGIRC-ARRCO</w:t>
            </w:r>
            <w:r w:rsidR="00AD2FFC">
              <w:rPr>
                <w:noProof/>
                <w:webHidden/>
              </w:rPr>
              <w:tab/>
            </w:r>
            <w:r w:rsidR="00AD2FFC">
              <w:rPr>
                <w:noProof/>
                <w:webHidden/>
              </w:rPr>
              <w:fldChar w:fldCharType="begin"/>
            </w:r>
            <w:r w:rsidR="00AD2FFC">
              <w:rPr>
                <w:noProof/>
                <w:webHidden/>
              </w:rPr>
              <w:instrText xml:space="preserve"> PAGEREF _Toc224041907 \h </w:instrText>
            </w:r>
            <w:r w:rsidR="00AD2FFC">
              <w:rPr>
                <w:noProof/>
                <w:webHidden/>
              </w:rPr>
            </w:r>
            <w:r w:rsidR="00AD2FFC">
              <w:rPr>
                <w:noProof/>
                <w:webHidden/>
              </w:rPr>
              <w:fldChar w:fldCharType="separate"/>
            </w:r>
            <w:r w:rsidR="00B329C0">
              <w:rPr>
                <w:noProof/>
                <w:webHidden/>
              </w:rPr>
              <w:t>1</w:t>
            </w:r>
            <w:r w:rsidR="00AD2FFC">
              <w:rPr>
                <w:noProof/>
                <w:webHidden/>
              </w:rPr>
              <w:fldChar w:fldCharType="end"/>
            </w:r>
          </w:hyperlink>
        </w:p>
        <w:p w14:paraId="55CF18B4" w14:textId="0FCE73FD" w:rsidR="00AD2FFC" w:rsidRDefault="00AD2FFC">
          <w:pPr>
            <w:pStyle w:val="TM1"/>
            <w:tabs>
              <w:tab w:val="right" w:leader="dot" w:pos="9062"/>
            </w:tabs>
            <w:rPr>
              <w:rFonts w:asciiTheme="minorHAnsi" w:eastAsiaTheme="minorEastAsia" w:hAnsiTheme="minorHAnsi"/>
              <w:noProof/>
              <w:lang w:eastAsia="fr-FR"/>
            </w:rPr>
          </w:pPr>
          <w:hyperlink w:anchor="_Toc224041908" w:history="1">
            <w:r w:rsidRPr="000B02A0">
              <w:rPr>
                <w:rStyle w:val="Lienhypertexte"/>
                <w:rFonts w:eastAsia="Aptos" w:cs="Aptos"/>
                <w:noProof/>
              </w:rPr>
              <w:t>Code affaire de l’Appel d’offres</w:t>
            </w:r>
            <w:r>
              <w:rPr>
                <w:noProof/>
                <w:webHidden/>
              </w:rPr>
              <w:tab/>
            </w:r>
            <w:r>
              <w:rPr>
                <w:noProof/>
                <w:webHidden/>
              </w:rPr>
              <w:fldChar w:fldCharType="begin"/>
            </w:r>
            <w:r>
              <w:rPr>
                <w:noProof/>
                <w:webHidden/>
              </w:rPr>
              <w:instrText xml:space="preserve"> PAGEREF _Toc224041908 \h </w:instrText>
            </w:r>
            <w:r>
              <w:rPr>
                <w:noProof/>
                <w:webHidden/>
              </w:rPr>
            </w:r>
            <w:r>
              <w:rPr>
                <w:noProof/>
                <w:webHidden/>
              </w:rPr>
              <w:fldChar w:fldCharType="separate"/>
            </w:r>
            <w:r w:rsidR="00B329C0">
              <w:rPr>
                <w:noProof/>
                <w:webHidden/>
              </w:rPr>
              <w:t>1</w:t>
            </w:r>
            <w:r>
              <w:rPr>
                <w:noProof/>
                <w:webHidden/>
              </w:rPr>
              <w:fldChar w:fldCharType="end"/>
            </w:r>
          </w:hyperlink>
        </w:p>
        <w:p w14:paraId="04F3981F" w14:textId="23E27813" w:rsidR="00AD2FFC" w:rsidRDefault="00AD2FFC">
          <w:pPr>
            <w:pStyle w:val="TM1"/>
            <w:tabs>
              <w:tab w:val="right" w:leader="dot" w:pos="9062"/>
            </w:tabs>
            <w:rPr>
              <w:rFonts w:asciiTheme="minorHAnsi" w:eastAsiaTheme="minorEastAsia" w:hAnsiTheme="minorHAnsi"/>
              <w:noProof/>
              <w:lang w:eastAsia="fr-FR"/>
            </w:rPr>
          </w:pPr>
          <w:hyperlink w:anchor="_Toc224041909" w:history="1">
            <w:r w:rsidRPr="000B02A0">
              <w:rPr>
                <w:rStyle w:val="Lienhypertexte"/>
                <w:rFonts w:eastAsia="Aptos" w:cs="Aptos"/>
                <w:noProof/>
              </w:rPr>
              <w:t>Intitulé de l’appel d’offres</w:t>
            </w:r>
            <w:r>
              <w:rPr>
                <w:noProof/>
                <w:webHidden/>
              </w:rPr>
              <w:tab/>
            </w:r>
            <w:r>
              <w:rPr>
                <w:noProof/>
                <w:webHidden/>
              </w:rPr>
              <w:fldChar w:fldCharType="begin"/>
            </w:r>
            <w:r>
              <w:rPr>
                <w:noProof/>
                <w:webHidden/>
              </w:rPr>
              <w:instrText xml:space="preserve"> PAGEREF _Toc224041909 \h </w:instrText>
            </w:r>
            <w:r>
              <w:rPr>
                <w:noProof/>
                <w:webHidden/>
              </w:rPr>
            </w:r>
            <w:r>
              <w:rPr>
                <w:noProof/>
                <w:webHidden/>
              </w:rPr>
              <w:fldChar w:fldCharType="separate"/>
            </w:r>
            <w:r w:rsidR="00B329C0">
              <w:rPr>
                <w:noProof/>
                <w:webHidden/>
              </w:rPr>
              <w:t>1</w:t>
            </w:r>
            <w:r>
              <w:rPr>
                <w:noProof/>
                <w:webHidden/>
              </w:rPr>
              <w:fldChar w:fldCharType="end"/>
            </w:r>
          </w:hyperlink>
        </w:p>
        <w:p w14:paraId="101F91DD" w14:textId="2886912B" w:rsidR="00AD2FFC" w:rsidRDefault="00AD2FFC">
          <w:pPr>
            <w:pStyle w:val="TM1"/>
            <w:tabs>
              <w:tab w:val="right" w:leader="dot" w:pos="9062"/>
            </w:tabs>
            <w:rPr>
              <w:rFonts w:asciiTheme="minorHAnsi" w:eastAsiaTheme="minorEastAsia" w:hAnsiTheme="minorHAnsi"/>
              <w:noProof/>
              <w:lang w:eastAsia="fr-FR"/>
            </w:rPr>
          </w:pPr>
          <w:hyperlink w:anchor="_Toc224041910" w:history="1">
            <w:r w:rsidRPr="000B02A0">
              <w:rPr>
                <w:rStyle w:val="Lienhypertexte"/>
                <w:rFonts w:eastAsia="Aptos" w:cs="Aptos"/>
                <w:b/>
                <w:noProof/>
              </w:rPr>
              <w:t>I – Compréhension du sujet et enjeux</w:t>
            </w:r>
            <w:r>
              <w:rPr>
                <w:noProof/>
                <w:webHidden/>
              </w:rPr>
              <w:tab/>
            </w:r>
            <w:r>
              <w:rPr>
                <w:noProof/>
                <w:webHidden/>
              </w:rPr>
              <w:fldChar w:fldCharType="begin"/>
            </w:r>
            <w:r>
              <w:rPr>
                <w:noProof/>
                <w:webHidden/>
              </w:rPr>
              <w:instrText xml:space="preserve"> PAGEREF _Toc224041910 \h </w:instrText>
            </w:r>
            <w:r>
              <w:rPr>
                <w:noProof/>
                <w:webHidden/>
              </w:rPr>
            </w:r>
            <w:r>
              <w:rPr>
                <w:noProof/>
                <w:webHidden/>
              </w:rPr>
              <w:fldChar w:fldCharType="separate"/>
            </w:r>
            <w:r w:rsidR="00B329C0">
              <w:rPr>
                <w:noProof/>
                <w:webHidden/>
              </w:rPr>
              <w:t>2</w:t>
            </w:r>
            <w:r>
              <w:rPr>
                <w:noProof/>
                <w:webHidden/>
              </w:rPr>
              <w:fldChar w:fldCharType="end"/>
            </w:r>
          </w:hyperlink>
        </w:p>
        <w:p w14:paraId="262B9265" w14:textId="23D5C822" w:rsidR="00AD2FFC" w:rsidRDefault="00AD2FFC">
          <w:pPr>
            <w:pStyle w:val="TM1"/>
            <w:tabs>
              <w:tab w:val="right" w:leader="dot" w:pos="9062"/>
            </w:tabs>
            <w:rPr>
              <w:rFonts w:asciiTheme="minorHAnsi" w:eastAsiaTheme="minorEastAsia" w:hAnsiTheme="minorHAnsi"/>
              <w:noProof/>
              <w:lang w:eastAsia="fr-FR"/>
            </w:rPr>
          </w:pPr>
          <w:hyperlink w:anchor="_Toc224041911" w:history="1">
            <w:r w:rsidRPr="000B02A0">
              <w:rPr>
                <w:rStyle w:val="Lienhypertexte"/>
                <w:rFonts w:eastAsia="Aptos" w:cs="Aptos"/>
                <w:b/>
                <w:noProof/>
              </w:rPr>
              <w:t>II – Qui sommes-nous et nos engagements</w:t>
            </w:r>
            <w:r>
              <w:rPr>
                <w:noProof/>
                <w:webHidden/>
              </w:rPr>
              <w:tab/>
            </w:r>
            <w:r>
              <w:rPr>
                <w:noProof/>
                <w:webHidden/>
              </w:rPr>
              <w:fldChar w:fldCharType="begin"/>
            </w:r>
            <w:r>
              <w:rPr>
                <w:noProof/>
                <w:webHidden/>
              </w:rPr>
              <w:instrText xml:space="preserve"> PAGEREF _Toc224041911 \h </w:instrText>
            </w:r>
            <w:r>
              <w:rPr>
                <w:noProof/>
                <w:webHidden/>
              </w:rPr>
            </w:r>
            <w:r>
              <w:rPr>
                <w:noProof/>
                <w:webHidden/>
              </w:rPr>
              <w:fldChar w:fldCharType="separate"/>
            </w:r>
            <w:r w:rsidR="00B329C0">
              <w:rPr>
                <w:noProof/>
                <w:webHidden/>
              </w:rPr>
              <w:t>2</w:t>
            </w:r>
            <w:r>
              <w:rPr>
                <w:noProof/>
                <w:webHidden/>
              </w:rPr>
              <w:fldChar w:fldCharType="end"/>
            </w:r>
          </w:hyperlink>
        </w:p>
        <w:p w14:paraId="709BEEA0" w14:textId="4743FB49" w:rsidR="00AD2FFC" w:rsidRDefault="00AD2FFC">
          <w:pPr>
            <w:pStyle w:val="TM1"/>
            <w:tabs>
              <w:tab w:val="right" w:leader="dot" w:pos="9062"/>
            </w:tabs>
            <w:rPr>
              <w:rFonts w:asciiTheme="minorHAnsi" w:eastAsiaTheme="minorEastAsia" w:hAnsiTheme="minorHAnsi"/>
              <w:noProof/>
              <w:lang w:eastAsia="fr-FR"/>
            </w:rPr>
          </w:pPr>
          <w:hyperlink w:anchor="_Toc224041912" w:history="1">
            <w:r w:rsidRPr="000B02A0">
              <w:rPr>
                <w:rStyle w:val="Lienhypertexte"/>
                <w:rFonts w:eastAsia="Aptos" w:cs="Aptos"/>
                <w:b/>
                <w:noProof/>
              </w:rPr>
              <w:t>III – Notre réponse</w:t>
            </w:r>
            <w:r>
              <w:rPr>
                <w:noProof/>
                <w:webHidden/>
              </w:rPr>
              <w:tab/>
            </w:r>
            <w:r>
              <w:rPr>
                <w:noProof/>
                <w:webHidden/>
              </w:rPr>
              <w:fldChar w:fldCharType="begin"/>
            </w:r>
            <w:r>
              <w:rPr>
                <w:noProof/>
                <w:webHidden/>
              </w:rPr>
              <w:instrText xml:space="preserve"> PAGEREF _Toc224041912 \h </w:instrText>
            </w:r>
            <w:r>
              <w:rPr>
                <w:noProof/>
                <w:webHidden/>
              </w:rPr>
            </w:r>
            <w:r>
              <w:rPr>
                <w:noProof/>
                <w:webHidden/>
              </w:rPr>
              <w:fldChar w:fldCharType="separate"/>
            </w:r>
            <w:r w:rsidR="00B329C0">
              <w:rPr>
                <w:noProof/>
                <w:webHidden/>
              </w:rPr>
              <w:t>3</w:t>
            </w:r>
            <w:r>
              <w:rPr>
                <w:noProof/>
                <w:webHidden/>
              </w:rPr>
              <w:fldChar w:fldCharType="end"/>
            </w:r>
          </w:hyperlink>
        </w:p>
        <w:p w14:paraId="291E6A56" w14:textId="66CB74AD" w:rsidR="00AD2FFC" w:rsidRDefault="00AD2FFC">
          <w:pPr>
            <w:pStyle w:val="TM2"/>
            <w:tabs>
              <w:tab w:val="right" w:leader="dot" w:pos="9062"/>
            </w:tabs>
            <w:rPr>
              <w:rFonts w:asciiTheme="minorHAnsi" w:eastAsiaTheme="minorEastAsia" w:hAnsiTheme="minorHAnsi"/>
              <w:noProof/>
              <w:lang w:eastAsia="fr-FR"/>
            </w:rPr>
          </w:pPr>
          <w:hyperlink w:anchor="_Toc224041913" w:history="1">
            <w:r w:rsidRPr="000B02A0">
              <w:rPr>
                <w:rStyle w:val="Lienhypertexte"/>
                <w:rFonts w:eastAsia="Aptos" w:cs="Aptos"/>
                <w:b/>
                <w:noProof/>
              </w:rPr>
              <w:t>1. Pilotage et Gouvernance</w:t>
            </w:r>
            <w:r>
              <w:rPr>
                <w:noProof/>
                <w:webHidden/>
              </w:rPr>
              <w:tab/>
            </w:r>
            <w:r>
              <w:rPr>
                <w:noProof/>
                <w:webHidden/>
              </w:rPr>
              <w:fldChar w:fldCharType="begin"/>
            </w:r>
            <w:r>
              <w:rPr>
                <w:noProof/>
                <w:webHidden/>
              </w:rPr>
              <w:instrText xml:space="preserve"> PAGEREF _Toc224041913 \h </w:instrText>
            </w:r>
            <w:r>
              <w:rPr>
                <w:noProof/>
                <w:webHidden/>
              </w:rPr>
            </w:r>
            <w:r>
              <w:rPr>
                <w:noProof/>
                <w:webHidden/>
              </w:rPr>
              <w:fldChar w:fldCharType="separate"/>
            </w:r>
            <w:r w:rsidR="00B329C0">
              <w:rPr>
                <w:noProof/>
                <w:webHidden/>
              </w:rPr>
              <w:t>3</w:t>
            </w:r>
            <w:r>
              <w:rPr>
                <w:noProof/>
                <w:webHidden/>
              </w:rPr>
              <w:fldChar w:fldCharType="end"/>
            </w:r>
          </w:hyperlink>
        </w:p>
        <w:p w14:paraId="0EE2229D" w14:textId="313F6562" w:rsidR="00AD2FFC" w:rsidRDefault="00AD2FFC">
          <w:pPr>
            <w:pStyle w:val="TM2"/>
            <w:tabs>
              <w:tab w:val="right" w:leader="dot" w:pos="9062"/>
            </w:tabs>
            <w:rPr>
              <w:rFonts w:asciiTheme="minorHAnsi" w:eastAsiaTheme="minorEastAsia" w:hAnsiTheme="minorHAnsi"/>
              <w:noProof/>
              <w:lang w:eastAsia="fr-FR"/>
            </w:rPr>
          </w:pPr>
          <w:hyperlink w:anchor="_Toc224041914" w:history="1">
            <w:r w:rsidRPr="000B02A0">
              <w:rPr>
                <w:rStyle w:val="Lienhypertexte"/>
                <w:rFonts w:eastAsia="Aptos" w:cs="Aptos"/>
                <w:b/>
                <w:noProof/>
              </w:rPr>
              <w:t>2. Réponse technique</w:t>
            </w:r>
            <w:r>
              <w:rPr>
                <w:noProof/>
                <w:webHidden/>
              </w:rPr>
              <w:tab/>
            </w:r>
            <w:r>
              <w:rPr>
                <w:noProof/>
                <w:webHidden/>
              </w:rPr>
              <w:fldChar w:fldCharType="begin"/>
            </w:r>
            <w:r>
              <w:rPr>
                <w:noProof/>
                <w:webHidden/>
              </w:rPr>
              <w:instrText xml:space="preserve"> PAGEREF _Toc224041914 \h </w:instrText>
            </w:r>
            <w:r>
              <w:rPr>
                <w:noProof/>
                <w:webHidden/>
              </w:rPr>
            </w:r>
            <w:r>
              <w:rPr>
                <w:noProof/>
                <w:webHidden/>
              </w:rPr>
              <w:fldChar w:fldCharType="separate"/>
            </w:r>
            <w:r w:rsidR="00B329C0">
              <w:rPr>
                <w:noProof/>
                <w:webHidden/>
              </w:rPr>
              <w:t>4</w:t>
            </w:r>
            <w:r>
              <w:rPr>
                <w:noProof/>
                <w:webHidden/>
              </w:rPr>
              <w:fldChar w:fldCharType="end"/>
            </w:r>
          </w:hyperlink>
        </w:p>
        <w:p w14:paraId="14568B73" w14:textId="5EC8C757" w:rsidR="00AD2FFC" w:rsidRDefault="00AD2FFC">
          <w:pPr>
            <w:pStyle w:val="TM2"/>
            <w:tabs>
              <w:tab w:val="right" w:leader="dot" w:pos="9062"/>
            </w:tabs>
            <w:rPr>
              <w:rFonts w:asciiTheme="minorHAnsi" w:eastAsiaTheme="minorEastAsia" w:hAnsiTheme="minorHAnsi"/>
              <w:noProof/>
              <w:lang w:eastAsia="fr-FR"/>
            </w:rPr>
          </w:pPr>
          <w:hyperlink w:anchor="_Toc224041915" w:history="1">
            <w:r w:rsidRPr="000B02A0">
              <w:rPr>
                <w:rStyle w:val="Lienhypertexte"/>
                <w:rFonts w:eastAsia="Aptos" w:cs="Aptos"/>
                <w:b/>
                <w:noProof/>
              </w:rPr>
              <w:t>3. Équipe type</w:t>
            </w:r>
            <w:r>
              <w:rPr>
                <w:noProof/>
                <w:webHidden/>
              </w:rPr>
              <w:tab/>
            </w:r>
            <w:r>
              <w:rPr>
                <w:noProof/>
                <w:webHidden/>
              </w:rPr>
              <w:fldChar w:fldCharType="begin"/>
            </w:r>
            <w:r>
              <w:rPr>
                <w:noProof/>
                <w:webHidden/>
              </w:rPr>
              <w:instrText xml:space="preserve"> PAGEREF _Toc224041915 \h </w:instrText>
            </w:r>
            <w:r>
              <w:rPr>
                <w:noProof/>
                <w:webHidden/>
              </w:rPr>
            </w:r>
            <w:r>
              <w:rPr>
                <w:noProof/>
                <w:webHidden/>
              </w:rPr>
              <w:fldChar w:fldCharType="separate"/>
            </w:r>
            <w:r w:rsidR="00B329C0">
              <w:rPr>
                <w:noProof/>
                <w:webHidden/>
              </w:rPr>
              <w:t>4</w:t>
            </w:r>
            <w:r>
              <w:rPr>
                <w:noProof/>
                <w:webHidden/>
              </w:rPr>
              <w:fldChar w:fldCharType="end"/>
            </w:r>
          </w:hyperlink>
        </w:p>
        <w:p w14:paraId="573066E9" w14:textId="6DDA39A6" w:rsidR="00AD2FFC" w:rsidRDefault="00AD2FFC">
          <w:pPr>
            <w:pStyle w:val="TM2"/>
            <w:tabs>
              <w:tab w:val="right" w:leader="dot" w:pos="9062"/>
            </w:tabs>
            <w:rPr>
              <w:rFonts w:asciiTheme="minorHAnsi" w:eastAsiaTheme="minorEastAsia" w:hAnsiTheme="minorHAnsi"/>
              <w:noProof/>
              <w:lang w:eastAsia="fr-FR"/>
            </w:rPr>
          </w:pPr>
          <w:hyperlink w:anchor="_Toc224041916" w:history="1">
            <w:r w:rsidRPr="000B02A0">
              <w:rPr>
                <w:rStyle w:val="Lienhypertexte"/>
                <w:rFonts w:eastAsia="Aptos" w:cs="Aptos"/>
                <w:b/>
                <w:noProof/>
              </w:rPr>
              <w:t>4. Planning prévisionnel</w:t>
            </w:r>
            <w:r>
              <w:rPr>
                <w:noProof/>
                <w:webHidden/>
              </w:rPr>
              <w:tab/>
            </w:r>
            <w:r>
              <w:rPr>
                <w:noProof/>
                <w:webHidden/>
              </w:rPr>
              <w:fldChar w:fldCharType="begin"/>
            </w:r>
            <w:r>
              <w:rPr>
                <w:noProof/>
                <w:webHidden/>
              </w:rPr>
              <w:instrText xml:space="preserve"> PAGEREF _Toc224041916 \h </w:instrText>
            </w:r>
            <w:r>
              <w:rPr>
                <w:noProof/>
                <w:webHidden/>
              </w:rPr>
            </w:r>
            <w:r>
              <w:rPr>
                <w:noProof/>
                <w:webHidden/>
              </w:rPr>
              <w:fldChar w:fldCharType="separate"/>
            </w:r>
            <w:r w:rsidR="00B329C0">
              <w:rPr>
                <w:noProof/>
                <w:webHidden/>
              </w:rPr>
              <w:t>5</w:t>
            </w:r>
            <w:r>
              <w:rPr>
                <w:noProof/>
                <w:webHidden/>
              </w:rPr>
              <w:fldChar w:fldCharType="end"/>
            </w:r>
          </w:hyperlink>
        </w:p>
        <w:p w14:paraId="76E8D1F5" w14:textId="77FF0B75" w:rsidR="00AD2FFC" w:rsidRDefault="00AD2FFC">
          <w:pPr>
            <w:pStyle w:val="TM2"/>
            <w:tabs>
              <w:tab w:val="right" w:leader="dot" w:pos="9062"/>
            </w:tabs>
            <w:rPr>
              <w:rFonts w:asciiTheme="minorHAnsi" w:eastAsiaTheme="minorEastAsia" w:hAnsiTheme="minorHAnsi"/>
              <w:noProof/>
              <w:lang w:eastAsia="fr-FR"/>
            </w:rPr>
          </w:pPr>
          <w:hyperlink w:anchor="_Toc224041917" w:history="1">
            <w:r w:rsidRPr="000B02A0">
              <w:rPr>
                <w:rStyle w:val="Lienhypertexte"/>
                <w:rFonts w:eastAsia="Aptos" w:cs="Aptos"/>
                <w:b/>
                <w:noProof/>
              </w:rPr>
              <w:t>5. Livrables</w:t>
            </w:r>
            <w:r>
              <w:rPr>
                <w:noProof/>
                <w:webHidden/>
              </w:rPr>
              <w:tab/>
            </w:r>
            <w:r>
              <w:rPr>
                <w:noProof/>
                <w:webHidden/>
              </w:rPr>
              <w:fldChar w:fldCharType="begin"/>
            </w:r>
            <w:r>
              <w:rPr>
                <w:noProof/>
                <w:webHidden/>
              </w:rPr>
              <w:instrText xml:space="preserve"> PAGEREF _Toc224041917 \h </w:instrText>
            </w:r>
            <w:r>
              <w:rPr>
                <w:noProof/>
                <w:webHidden/>
              </w:rPr>
            </w:r>
            <w:r>
              <w:rPr>
                <w:noProof/>
                <w:webHidden/>
              </w:rPr>
              <w:fldChar w:fldCharType="separate"/>
            </w:r>
            <w:r w:rsidR="00B329C0">
              <w:rPr>
                <w:noProof/>
                <w:webHidden/>
              </w:rPr>
              <w:t>5</w:t>
            </w:r>
            <w:r>
              <w:rPr>
                <w:noProof/>
                <w:webHidden/>
              </w:rPr>
              <w:fldChar w:fldCharType="end"/>
            </w:r>
          </w:hyperlink>
        </w:p>
        <w:p w14:paraId="5CCB919F" w14:textId="32DCB2F3" w:rsidR="00AD2FFC" w:rsidRDefault="00AD2FFC">
          <w:pPr>
            <w:pStyle w:val="TM1"/>
            <w:tabs>
              <w:tab w:val="right" w:leader="dot" w:pos="9062"/>
            </w:tabs>
            <w:rPr>
              <w:rFonts w:asciiTheme="minorHAnsi" w:eastAsiaTheme="minorEastAsia" w:hAnsiTheme="minorHAnsi"/>
              <w:noProof/>
              <w:lang w:eastAsia="fr-FR"/>
            </w:rPr>
          </w:pPr>
          <w:hyperlink w:anchor="_Toc224041918" w:history="1">
            <w:r w:rsidRPr="000B02A0">
              <w:rPr>
                <w:rStyle w:val="Lienhypertexte"/>
                <w:rFonts w:eastAsia="Aptos" w:cs="Aptos"/>
                <w:b/>
                <w:noProof/>
              </w:rPr>
              <w:t>IV – Nos Références</w:t>
            </w:r>
            <w:r>
              <w:rPr>
                <w:noProof/>
                <w:webHidden/>
              </w:rPr>
              <w:tab/>
            </w:r>
            <w:r>
              <w:rPr>
                <w:noProof/>
                <w:webHidden/>
              </w:rPr>
              <w:fldChar w:fldCharType="begin"/>
            </w:r>
            <w:r>
              <w:rPr>
                <w:noProof/>
                <w:webHidden/>
              </w:rPr>
              <w:instrText xml:space="preserve"> PAGEREF _Toc224041918 \h </w:instrText>
            </w:r>
            <w:r>
              <w:rPr>
                <w:noProof/>
                <w:webHidden/>
              </w:rPr>
            </w:r>
            <w:r>
              <w:rPr>
                <w:noProof/>
                <w:webHidden/>
              </w:rPr>
              <w:fldChar w:fldCharType="separate"/>
            </w:r>
            <w:r w:rsidR="00B329C0">
              <w:rPr>
                <w:noProof/>
                <w:webHidden/>
              </w:rPr>
              <w:t>5</w:t>
            </w:r>
            <w:r>
              <w:rPr>
                <w:noProof/>
                <w:webHidden/>
              </w:rPr>
              <w:fldChar w:fldCharType="end"/>
            </w:r>
          </w:hyperlink>
        </w:p>
        <w:p w14:paraId="089E7714" w14:textId="77777777" w:rsidR="008E1F34" w:rsidRDefault="008E1F34">
          <w:r>
            <w:rPr>
              <w:b/>
              <w:bCs/>
            </w:rPr>
            <w:fldChar w:fldCharType="end"/>
          </w:r>
        </w:p>
      </w:sdtContent>
    </w:sdt>
    <w:p w14:paraId="5E455097" w14:textId="768BBB72" w:rsidR="00864DAC" w:rsidRDefault="00864DAC" w:rsidP="00C25139">
      <w:pPr>
        <w:spacing w:after="40" w:line="276" w:lineRule="auto"/>
      </w:pPr>
    </w:p>
    <w:p w14:paraId="2431AB5E" w14:textId="77777777" w:rsidR="00864DAC" w:rsidRDefault="00864DAC">
      <w:pPr>
        <w:spacing w:after="40" w:line="276" w:lineRule="auto"/>
      </w:pPr>
    </w:p>
    <w:p w14:paraId="2087E7F4" w14:textId="77777777" w:rsidR="00AB71EE" w:rsidRPr="00B72A42" w:rsidRDefault="00AB71EE" w:rsidP="00AB71EE">
      <w:pPr>
        <w:pStyle w:val="Titre1"/>
        <w:spacing w:before="200" w:beforeAutospacing="1" w:afterAutospacing="1" w:line="276" w:lineRule="auto"/>
        <w:rPr>
          <w:rFonts w:eastAsia="Times New Roman" w:cs="Times New Roman"/>
          <w:b/>
          <w:bCs/>
          <w:kern w:val="0"/>
          <w:sz w:val="36"/>
          <w:szCs w:val="36"/>
          <w14:ligatures w14:val="none"/>
        </w:rPr>
      </w:pPr>
      <w:bookmarkStart w:id="4" w:name="_Toc204769406"/>
      <w:bookmarkStart w:id="5" w:name="_Toc224041910"/>
      <w:bookmarkEnd w:id="4"/>
      <w:r>
        <w:rPr>
          <w:rFonts w:ascii="Aptos" w:eastAsia="Aptos" w:hAnsi="Aptos" w:cs="Aptos"/>
          <w:b/>
        </w:rPr>
        <w:t>I – Compréhension du sujet et enjeux</w:t>
      </w:r>
      <w:bookmarkEnd w:id="5"/>
    </w:p>
    <w:p w14:paraId="18DA34F7" w14:textId="77777777" w:rsidR="000B43F6" w:rsidRDefault="00AB71EE" w:rsidP="00AB71EE">
      <w:pPr>
        <w:spacing w:after="120" w:line="276" w:lineRule="auto"/>
      </w:pPr>
      <w:r>
        <w:rPr>
          <w:rFonts w:eastAsia="Aptos" w:cs="Aptos"/>
        </w:rPr>
        <w:t xml:space="preserve">Le besoin formulé par la Fédération Agirc-Arrco vise à renforcer le pôle Expérience Utilisateur avec un UI Designer senior capable d’accompagner l’UX Lead en charge du </w:t>
      </w:r>
      <w:r>
        <w:rPr>
          <w:rFonts w:eastAsia="Aptos" w:cs="Aptos"/>
        </w:rPr>
        <w:lastRenderedPageBreak/>
        <w:t>design system front-office, dans un contexte de services connectés à forte visibilité pour les espaces Particulier et Entreprise.</w:t>
      </w:r>
    </w:p>
    <w:p w14:paraId="062E997D" w14:textId="77777777" w:rsidR="00864DAC" w:rsidRDefault="00000000">
      <w:pPr>
        <w:spacing w:after="120" w:line="276" w:lineRule="auto"/>
      </w:pPr>
      <w:r>
        <w:rPr>
          <w:rFonts w:eastAsia="Aptos" w:cs="Aptos"/>
        </w:rPr>
        <w:t>La mission présente un double enjeu. D’une part, un enjeu de production, avec la réalisation de wireframes, maquettes et prototypes Figma exploitables, cohérents et compatibles avec les contraintes d’intégration. D’autre part, un enjeu transverse de structuration, consistant à faire vivre le design system, sécuriser la cohérence graphique entre produits, documenter les composants et accompagner les équipes internes dans leur appropriation des bonnes pratiques UI.</w:t>
      </w:r>
    </w:p>
    <w:p w14:paraId="44C2F4E6" w14:textId="77777777" w:rsidR="00864DAC" w:rsidRDefault="00000000">
      <w:pPr>
        <w:spacing w:after="120" w:line="276" w:lineRule="auto"/>
      </w:pPr>
      <w:r>
        <w:rPr>
          <w:rFonts w:eastAsia="Aptos" w:cs="Aptos"/>
        </w:rPr>
        <w:t>Nous retenons également des enjeux forts de maintenabilité et de robustesse. Le consultant doit concevoir des composants et écrans pensés dans une logique modulaire, anticiper l’ensemble des états d’interface (chargement, erreur, succès, vide, désactivé, cas limites), intégrer les principes d’accessibilité numérique dès la conception et faciliter la recette graphique auprès de la DSI.</w:t>
      </w:r>
    </w:p>
    <w:p w14:paraId="063A0701" w14:textId="77777777" w:rsidR="00864DAC" w:rsidRDefault="00000000">
      <w:pPr>
        <w:spacing w:after="120" w:line="276" w:lineRule="auto"/>
      </w:pPr>
      <w:r>
        <w:rPr>
          <w:rFonts w:eastAsia="Aptos" w:cs="Aptos"/>
        </w:rPr>
        <w:t>Enfin, la dimension relationnelle de la mission est déterminante. Le profil attendu doit savoir challenger avec pédagogie, expliciter ses choix, contribuer aux réflexions amont et collaborer efficacement avec les équipes UX, métier, produit et développement dans un cadre Agile. Le parcours d’ACA répond précisément à cette attente, par sa combinaison d’expertise UI, d’expérience design system, de culture accessibilité et de capacité de transmission.</w:t>
      </w:r>
    </w:p>
    <w:p w14:paraId="7B2B76F8" w14:textId="77777777" w:rsidR="00AB71EE" w:rsidRPr="00B72A42" w:rsidRDefault="00AB71EE" w:rsidP="00AB71EE">
      <w:pPr>
        <w:pStyle w:val="Titre1"/>
        <w:spacing w:before="200" w:beforeAutospacing="1" w:afterAutospacing="1" w:line="276" w:lineRule="auto"/>
        <w:rPr>
          <w:rFonts w:eastAsia="Times New Roman" w:cs="Times New Roman"/>
          <w:b/>
          <w:bCs/>
          <w:kern w:val="0"/>
          <w:sz w:val="36"/>
          <w:szCs w:val="36"/>
          <w14:ligatures w14:val="none"/>
        </w:rPr>
      </w:pPr>
      <w:bookmarkStart w:id="6" w:name="_Toc204769407"/>
      <w:bookmarkStart w:id="7" w:name="_Toc224041911"/>
      <w:bookmarkEnd w:id="6"/>
      <w:r>
        <w:rPr>
          <w:rFonts w:ascii="Aptos" w:eastAsia="Aptos" w:hAnsi="Aptos" w:cs="Aptos"/>
          <w:b/>
        </w:rPr>
        <w:t>II – Qui sommes-nous et nos engagements</w:t>
      </w:r>
      <w:bookmarkEnd w:id="7"/>
    </w:p>
    <w:p w14:paraId="4D7FFE7B" w14:textId="77777777" w:rsidR="00AB71EE" w:rsidRPr="00B72A42" w:rsidRDefault="00AB71EE" w:rsidP="00AB71EE">
      <w:pPr>
        <w:spacing w:after="120" w:line="276" w:lineRule="auto"/>
        <w:jc w:val="both"/>
        <w:rPr>
          <w:rFonts w:eastAsia="Times New Roman" w:cs="Times New Roman"/>
          <w:kern w:val="0"/>
          <w14:ligatures w14:val="none"/>
        </w:rPr>
      </w:pPr>
      <w:r>
        <w:rPr>
          <w:rFonts w:eastAsia="Aptos" w:cs="Aptos"/>
        </w:rPr>
        <w:t>Créé en décembre 2014, FASTOR GIE a pour vocation de coopter des PME ESN avec pour objectif de pérenniser les relations Grands Comptes tout en respectant les critères de référencement. Ce modèle est plébiscité par les Directions Achats qui y trouve : une sécurité juridique et un choix élargi de prestataires.</w:t>
      </w:r>
    </w:p>
    <w:p w14:paraId="42528E39" w14:textId="77777777" w:rsidR="00AB71EE" w:rsidRPr="00B72A42" w:rsidRDefault="00AB71EE" w:rsidP="00AB71EE">
      <w:pPr>
        <w:spacing w:after="120" w:line="276" w:lineRule="auto"/>
        <w:jc w:val="both"/>
        <w:rPr>
          <w:rFonts w:eastAsia="Times New Roman" w:cs="Times New Roman"/>
          <w:kern w:val="0"/>
          <w14:ligatures w14:val="none"/>
        </w:rPr>
      </w:pPr>
      <w:r>
        <w:rPr>
          <w:rFonts w:eastAsia="Aptos" w:cs="Aptos"/>
        </w:rPr>
        <w:t>La force du GIE est notre maillage territorial en parfaite adéquation avec la situation géographique de nos clients multi-sites. La complétude de notre offre et nos implantations en région nous placent comme un acteur de proximité reconnu, ce qui nous a permis d’obtenir de nombreux référencements et d’avoir une activité en forte croissance.</w:t>
      </w:r>
    </w:p>
    <w:p w14:paraId="7426FCDE" w14:textId="77777777" w:rsidR="00AB71EE" w:rsidRPr="00B72A42" w:rsidRDefault="00AB71EE" w:rsidP="00AB71EE">
      <w:pPr>
        <w:spacing w:after="120" w:line="276" w:lineRule="auto"/>
        <w:jc w:val="both"/>
        <w:rPr>
          <w:rFonts w:eastAsia="Times New Roman" w:cs="Times New Roman"/>
          <w:kern w:val="0"/>
          <w14:ligatures w14:val="none"/>
        </w:rPr>
      </w:pPr>
      <w:r>
        <w:rPr>
          <w:rFonts w:eastAsia="Aptos" w:cs="Aptos"/>
        </w:rPr>
        <w:t xml:space="preserve">La force de nos PME est leur capacité d’adaptation indispensable aux défis de demain. </w:t>
      </w:r>
    </w:p>
    <w:p w14:paraId="16BFBA86" w14:textId="77777777" w:rsidR="00AB71EE" w:rsidRPr="00B72A42" w:rsidRDefault="00AB71EE" w:rsidP="00AB71EE">
      <w:pPr>
        <w:spacing w:after="120" w:line="276" w:lineRule="auto"/>
        <w:jc w:val="both"/>
        <w:rPr>
          <w:rFonts w:eastAsia="Times New Roman" w:cs="Times New Roman"/>
          <w:kern w:val="0"/>
          <w14:ligatures w14:val="none"/>
        </w:rPr>
      </w:pPr>
      <w:r>
        <w:rPr>
          <w:rFonts w:eastAsia="Aptos" w:cs="Aptos"/>
        </w:rPr>
        <w:t>Les membres du GIE se rejoignent sur le partage de valeurs humaines et ont la même volonté de faire vivre et prospérer nos structures respectives. Il est important pour nous que nos clients comme nos collaborateurs bénéficient d'un lien direct avec les dirigeants de nos entreprises.</w:t>
      </w:r>
    </w:p>
    <w:p w14:paraId="5463737B" w14:textId="77777777" w:rsidR="00AB71EE" w:rsidRPr="00B72A42" w:rsidRDefault="00AB71EE" w:rsidP="00AB71EE">
      <w:pPr>
        <w:spacing w:after="120" w:line="276" w:lineRule="auto"/>
        <w:jc w:val="both"/>
        <w:rPr>
          <w:rFonts w:eastAsia="Times New Roman" w:cs="Times New Roman"/>
          <w:kern w:val="0"/>
          <w14:ligatures w14:val="none"/>
        </w:rPr>
      </w:pPr>
      <w:r>
        <w:rPr>
          <w:rFonts w:eastAsia="Aptos" w:cs="Aptos"/>
        </w:rPr>
        <w:t>Nos clients sont nos meilleurs prescripteurs et le GIE une alternative reconnue et sérieuse aux rapprochements perpétuels des grandes ESN au niveau national et international.</w:t>
      </w:r>
    </w:p>
    <w:p w14:paraId="0652167F" w14:textId="77777777" w:rsidR="00AB71EE" w:rsidRPr="00B72A42" w:rsidRDefault="00AB71EE" w:rsidP="00AB71EE">
      <w:pPr>
        <w:spacing w:after="120" w:line="276" w:lineRule="auto"/>
        <w:jc w:val="both"/>
        <w:rPr>
          <w:rFonts w:eastAsia="Times New Roman" w:cs="Times New Roman"/>
          <w:kern w:val="0"/>
          <w14:ligatures w14:val="none"/>
        </w:rPr>
      </w:pPr>
      <w:r>
        <w:rPr>
          <w:rFonts w:eastAsia="Aptos" w:cs="Aptos"/>
        </w:rPr>
        <w:lastRenderedPageBreak/>
        <w:t>L’ensemble des membres accompagne nos clients en s'adaptant à l'évolution de la gouvernance des systèmes d'information. Une cartographie complète des domaines de compétences et d’expertises est proposée à nos clients.</w:t>
      </w:r>
    </w:p>
    <w:p w14:paraId="1635AD54" w14:textId="77777777" w:rsidR="00AB71EE" w:rsidRPr="00B72A42" w:rsidRDefault="00AB71EE" w:rsidP="00AB71EE">
      <w:pPr>
        <w:spacing w:after="120" w:line="276" w:lineRule="auto"/>
        <w:jc w:val="both"/>
        <w:rPr>
          <w:rFonts w:eastAsia="Times New Roman" w:cs="Times New Roman"/>
          <w:kern w:val="0"/>
          <w14:ligatures w14:val="none"/>
        </w:rPr>
      </w:pPr>
      <w:r>
        <w:rPr>
          <w:rFonts w:eastAsia="Aptos" w:cs="Aptos"/>
        </w:rPr>
        <w:t>FASTOR GIE a la capacité de délivrer et de garantir une prestation de qualité ; d'une part par la sélection, le recrutement, la fidélisation et la formation, et d'autre part, par le management du collaborateur au sein de la prestation.</w:t>
      </w:r>
    </w:p>
    <w:p w14:paraId="244722EB" w14:textId="77777777" w:rsidR="00AB71EE" w:rsidRPr="00B72A42" w:rsidRDefault="00AB71EE" w:rsidP="00AB71EE">
      <w:pPr>
        <w:pStyle w:val="Titre1"/>
        <w:spacing w:before="200" w:beforeAutospacing="1" w:afterAutospacing="1" w:line="276" w:lineRule="auto"/>
        <w:rPr>
          <w:rFonts w:eastAsia="Times New Roman" w:cs="Times New Roman"/>
          <w:b/>
          <w:bCs/>
          <w:kern w:val="0"/>
          <w:sz w:val="36"/>
          <w:szCs w:val="36"/>
          <w14:ligatures w14:val="none"/>
        </w:rPr>
      </w:pPr>
      <w:bookmarkStart w:id="8" w:name="_Toc204769408"/>
      <w:bookmarkStart w:id="9" w:name="_Toc224041912"/>
      <w:bookmarkEnd w:id="8"/>
      <w:r>
        <w:rPr>
          <w:rFonts w:ascii="Aptos" w:eastAsia="Aptos" w:hAnsi="Aptos" w:cs="Aptos"/>
          <w:b/>
        </w:rPr>
        <w:t>III – Notre réponse</w:t>
      </w:r>
      <w:bookmarkEnd w:id="9"/>
    </w:p>
    <w:p w14:paraId="58135C13" w14:textId="77777777" w:rsidR="00AB71EE" w:rsidRPr="00B72A42" w:rsidRDefault="00AB71EE" w:rsidP="00AB71EE">
      <w:pPr>
        <w:pStyle w:val="Titre2"/>
        <w:spacing w:before="200" w:beforeAutospacing="1" w:afterAutospacing="1" w:line="276" w:lineRule="auto"/>
        <w:rPr>
          <w:rFonts w:eastAsia="Times New Roman" w:cs="Times New Roman"/>
          <w:b/>
          <w:bCs/>
          <w:kern w:val="0"/>
          <w:sz w:val="27"/>
          <w:szCs w:val="27"/>
          <w14:ligatures w14:val="none"/>
        </w:rPr>
      </w:pPr>
      <w:bookmarkStart w:id="10" w:name="_Toc204769409"/>
      <w:bookmarkStart w:id="11" w:name="_Toc224041913"/>
      <w:bookmarkEnd w:id="10"/>
      <w:r>
        <w:rPr>
          <w:rFonts w:ascii="Aptos" w:eastAsia="Aptos" w:hAnsi="Aptos" w:cs="Aptos"/>
          <w:b/>
        </w:rPr>
        <w:t>1. Pilotage et Gouvernance</w:t>
      </w:r>
      <w:bookmarkEnd w:id="11"/>
    </w:p>
    <w:p w14:paraId="79C02269" w14:textId="77777777" w:rsidR="00AB71EE" w:rsidRPr="00B72A42" w:rsidRDefault="00AB71EE" w:rsidP="00AB71EE">
      <w:pPr>
        <w:spacing w:before="100" w:beforeAutospacing="1" w:after="80" w:afterAutospacing="1" w:line="276" w:lineRule="auto"/>
        <w:rPr>
          <w:rFonts w:eastAsia="Times New Roman" w:cs="Times New Roman"/>
          <w:kern w:val="0"/>
          <w14:ligatures w14:val="none"/>
        </w:rPr>
      </w:pPr>
      <w:r>
        <w:rPr>
          <w:rFonts w:eastAsia="Aptos" w:cs="Aptos"/>
        </w:rPr>
        <w:t>FASTOR GIE, en tant que mandataire référencé sur le SAD, assure le pilotage contractuel du marché, l’organisation du comité de lancement et le suivi de la bonne exécution globale de la prestation.</w:t>
      </w:r>
    </w:p>
    <w:p w14:paraId="5AF50A5B" w14:textId="77777777" w:rsidR="00864DAC" w:rsidRDefault="00000000">
      <w:pPr>
        <w:spacing w:after="80" w:line="276" w:lineRule="auto"/>
      </w:pPr>
      <w:r>
        <w:rPr>
          <w:rFonts w:eastAsia="Aptos" w:cs="Aptos"/>
        </w:rPr>
        <w:t>La gouvernance stratégique s’appuie sur des COPIL associant Agirc-Arrco, FASTOR GIE et l’ESN attributaire afin de partager l’avancement, les points d’attention, les arbitrages éventuels et les indicateurs de suivi.</w:t>
      </w:r>
    </w:p>
    <w:p w14:paraId="059B3AC6" w14:textId="77777777" w:rsidR="00864DAC" w:rsidRDefault="00000000">
      <w:pPr>
        <w:spacing w:after="80" w:line="276" w:lineRule="auto"/>
      </w:pPr>
      <w:r>
        <w:rPr>
          <w:rFonts w:eastAsia="Aptos" w:cs="Aptos"/>
        </w:rPr>
        <w:t>La gouvernance opérationnelle repose sur des COTECH et COSUI réguliers entre le consultant, l’UX Lead, les interlocuteurs produit, la DSI et FASTOR GIE. Ces points permettent de piloter les priorités, la charge, la qualité des livrables, les risques, les dépendances et la trajectoire du design system.</w:t>
      </w:r>
    </w:p>
    <w:p w14:paraId="2F2A7F1E" w14:textId="77777777" w:rsidR="00864DAC" w:rsidRDefault="00000000">
      <w:pPr>
        <w:spacing w:after="80" w:line="276" w:lineRule="auto"/>
      </w:pPr>
      <w:r>
        <w:rPr>
          <w:rFonts w:eastAsia="Aptos" w:cs="Aptos"/>
        </w:rPr>
        <w:t>La démarche proposée est Agile et incrémentale. Elle favorise des cycles courts, des validations fréquentes, une priorisation par la valeur et une amélioration continue des composants, des écrans et de la documentation.</w:t>
      </w:r>
    </w:p>
    <w:p w14:paraId="0C5B7CCA" w14:textId="77777777" w:rsidR="00AB71EE" w:rsidRPr="00B72A42" w:rsidRDefault="00AB71EE" w:rsidP="00AB71EE">
      <w:pPr>
        <w:pStyle w:val="Titre2"/>
        <w:spacing w:before="200" w:beforeAutospacing="1" w:afterAutospacing="1" w:line="276" w:lineRule="auto"/>
        <w:rPr>
          <w:rFonts w:eastAsia="Times New Roman" w:cs="Times New Roman"/>
          <w:b/>
          <w:bCs/>
          <w:kern w:val="0"/>
          <w:sz w:val="27"/>
          <w:szCs w:val="27"/>
          <w:lang w:val="en-US"/>
          <w14:ligatures w14:val="none"/>
        </w:rPr>
      </w:pPr>
      <w:bookmarkStart w:id="12" w:name="_Toc204769410"/>
      <w:bookmarkStart w:id="13" w:name="_Toc224041914"/>
      <w:bookmarkEnd w:id="12"/>
      <w:r>
        <w:rPr>
          <w:rFonts w:ascii="Aptos" w:eastAsia="Aptos" w:hAnsi="Aptos" w:cs="Aptos"/>
          <w:b/>
        </w:rPr>
        <w:t>2. Réponse technique</w:t>
      </w:r>
      <w:bookmarkEnd w:id="13"/>
    </w:p>
    <w:p w14:paraId="2CCF1186" w14:textId="77777777" w:rsidR="00AB71EE" w:rsidRPr="00B72A42" w:rsidRDefault="00AB71EE" w:rsidP="006D4026">
      <w:pPr>
        <w:spacing w:before="100" w:beforeAutospacing="1" w:after="120" w:afterAutospacing="1" w:line="276" w:lineRule="auto"/>
        <w:jc w:val="both"/>
        <w:rPr>
          <w:rFonts w:eastAsia="Times New Roman" w:cs="Times New Roman"/>
          <w:kern w:val="0"/>
          <w:lang w:val="en-US"/>
          <w14:ligatures w14:val="none"/>
        </w:rPr>
      </w:pPr>
      <w:r>
        <w:rPr>
          <w:rFonts w:eastAsia="Aptos" w:cs="Aptos"/>
        </w:rPr>
        <w:t>ACA est un UI Designer senior disposant de plus de 10 ans d’expérience dans la conception d’interfaces web BtoB, BtoC et SaaS. Son parcours est particulièrement aligné avec la présente consultation, tant sur la production UI que sur l’évolution et la maintenance de design systems.</w:t>
      </w:r>
    </w:p>
    <w:p w14:paraId="1EE007BD" w14:textId="77777777" w:rsidR="00864DAC" w:rsidRDefault="00000000">
      <w:pPr>
        <w:spacing w:after="120" w:line="276" w:lineRule="auto"/>
      </w:pPr>
      <w:r>
        <w:rPr>
          <w:rFonts w:eastAsia="Aptos" w:cs="Aptos"/>
        </w:rPr>
        <w:t>Il maîtrise Figma pour la conception de wireframes, maquettes, prototypes et livrables documentés. Son expérience chez Weblib, de 2022 à 2026, l’a conduit à contribuer activement à l’évolution d’un design system produit, à structurer des librairies de composants, variants, états et assets, et à produire des interfaces robustes et responsives dans un environnement SaaS complexe.</w:t>
      </w:r>
    </w:p>
    <w:p w14:paraId="1395B122" w14:textId="77777777" w:rsidR="00864DAC" w:rsidRDefault="00000000">
      <w:pPr>
        <w:spacing w:after="120" w:line="276" w:lineRule="auto"/>
      </w:pPr>
      <w:r>
        <w:rPr>
          <w:rFonts w:eastAsia="Aptos" w:cs="Aptos"/>
        </w:rPr>
        <w:t xml:space="preserve">ACA présente également une forte sensibilité à l’accessibilité numérique. Il a suivi deux formations Access42 dédiées au design UX/UI accessible et au développement de sites </w:t>
      </w:r>
      <w:r>
        <w:rPr>
          <w:rFonts w:eastAsia="Aptos" w:cs="Aptos"/>
        </w:rPr>
        <w:lastRenderedPageBreak/>
        <w:t>accessibles. Cette compétence répond directement à l’exigence d’intégration des principes RGAA dès la conception des interfaces.</w:t>
      </w:r>
    </w:p>
    <w:p w14:paraId="70B92629" w14:textId="77777777" w:rsidR="00864DAC" w:rsidRDefault="00000000">
      <w:pPr>
        <w:spacing w:after="120" w:line="276" w:lineRule="auto"/>
      </w:pPr>
      <w:r>
        <w:rPr>
          <w:rFonts w:eastAsia="Aptos" w:cs="Aptos"/>
        </w:rPr>
        <w:t>Son parcours démontre une bonne compréhension des contraintes de développement front-end et de la qualité d’intégration. Ses expériences antérieures chez AssurOne Group en tant que développeur d’interfaces digitales puis chef de projet digital lui permettent de concevoir des interfaces réalistes, industrialisables et compatibles avec les attentes des équipes DSI.</w:t>
      </w:r>
    </w:p>
    <w:p w14:paraId="09F9F7AC" w14:textId="77777777" w:rsidR="00864DAC" w:rsidRDefault="00000000">
      <w:pPr>
        <w:spacing w:after="120" w:line="276" w:lineRule="auto"/>
      </w:pPr>
      <w:r>
        <w:rPr>
          <w:rFonts w:eastAsia="Aptos" w:cs="Aptos"/>
        </w:rPr>
        <w:t>Enfin, ACA dispose d’une réelle capacité d’acculturation et de transmission. Son expérience d’enseignant-formateur et de référent digital chez Intuit-lab constitue un atout différenciant pour accompagner les collaborateurs internes et externes, documenter les choix UI et faire progresser les pratiques de conception au sein de l’écosystème projet.</w:t>
      </w:r>
    </w:p>
    <w:p w14:paraId="559F2FDD" w14:textId="77777777" w:rsidR="00AB71EE" w:rsidRDefault="00AB71EE" w:rsidP="00AB71EE">
      <w:pPr>
        <w:pStyle w:val="Titre2"/>
        <w:spacing w:before="200" w:beforeAutospacing="1" w:afterAutospacing="1" w:line="276" w:lineRule="auto"/>
        <w:rPr>
          <w:rFonts w:eastAsia="Times New Roman" w:cs="Times New Roman"/>
          <w:b/>
          <w:bCs/>
          <w:kern w:val="0"/>
          <w:sz w:val="27"/>
          <w:szCs w:val="27"/>
          <w:lang w:val="en-US"/>
          <w14:ligatures w14:val="none"/>
        </w:rPr>
      </w:pPr>
      <w:bookmarkStart w:id="14" w:name="_Toc204769411"/>
      <w:bookmarkStart w:id="15" w:name="_Toc224041915"/>
      <w:bookmarkEnd w:id="14"/>
      <w:r>
        <w:rPr>
          <w:rFonts w:ascii="Aptos" w:eastAsia="Aptos" w:hAnsi="Aptos" w:cs="Aptos"/>
          <w:b/>
        </w:rPr>
        <w:t>3. Équipe type</w:t>
      </w:r>
      <w:bookmarkEnd w:id="15"/>
    </w:p>
    <w:p w14:paraId="56FC1BD5" w14:textId="77777777" w:rsidR="00AB71EE" w:rsidRPr="00CE2BD3" w:rsidRDefault="00AB71EE" w:rsidP="006D4026">
      <w:pPr>
        <w:spacing w:after="120" w:line="276" w:lineRule="auto"/>
        <w:jc w:val="both"/>
        <w:rPr>
          <w:sz w:val="27"/>
          <w:szCs w:val="27"/>
          <w:lang w:val="en-US"/>
        </w:rPr>
      </w:pPr>
      <w:r>
        <w:rPr>
          <w:rFonts w:eastAsia="Aptos" w:cs="Aptos"/>
        </w:rPr>
        <w:t>FASTOR GIE - Mandataire et pilotage du marché : Assure la relation contractuelle, le comité de lancement, le suivi des engagements de prestation, la coordination de haut niveau et le suivi des KPI du SAD.</w:t>
      </w:r>
    </w:p>
    <w:p w14:paraId="20C49F76" w14:textId="77777777" w:rsidR="00864DAC" w:rsidRDefault="00000000">
      <w:pPr>
        <w:spacing w:after="120" w:line="276" w:lineRule="auto"/>
      </w:pPr>
      <w:r>
        <w:rPr>
          <w:rFonts w:eastAsia="Aptos" w:cs="Aptos"/>
        </w:rPr>
        <w:t>ACA - UI Designer senior transverse : Prend en charge la production UI sur Figma, la contribution au design system, la conception des composants et états, la recette graphique, la documentation et l’accompagnement des équipes projet.</w:t>
      </w:r>
    </w:p>
    <w:p w14:paraId="3226269E" w14:textId="77777777" w:rsidR="00864DAC" w:rsidRDefault="00000000">
      <w:pPr>
        <w:spacing w:after="120" w:line="276" w:lineRule="auto"/>
      </w:pPr>
      <w:r>
        <w:rPr>
          <w:rFonts w:eastAsia="Aptos" w:cs="Aptos"/>
        </w:rPr>
        <w:t>Interlocuteurs Agirc-Arrco : UX Lead pour le cadrage design system, manager du pôle Expérience Utilisateur pour le pilotage métier, équipes produit et DSI pour l’alignement fonctionnel, technique et la validation des intégrations.</w:t>
      </w:r>
    </w:p>
    <w:p w14:paraId="7CA45070" w14:textId="77777777" w:rsidR="00AB71EE" w:rsidRPr="00B72A42" w:rsidRDefault="00AB71EE" w:rsidP="00AB71EE">
      <w:pPr>
        <w:pStyle w:val="Titre2"/>
        <w:spacing w:before="200" w:beforeAutospacing="1" w:afterAutospacing="1" w:line="276" w:lineRule="auto"/>
        <w:rPr>
          <w:rFonts w:eastAsia="Times New Roman" w:cs="Times New Roman"/>
          <w:b/>
          <w:bCs/>
          <w:kern w:val="0"/>
          <w:sz w:val="27"/>
          <w:szCs w:val="27"/>
          <w:lang w:val="en-US"/>
          <w14:ligatures w14:val="none"/>
        </w:rPr>
      </w:pPr>
      <w:bookmarkStart w:id="16" w:name="_Toc204769412"/>
      <w:bookmarkStart w:id="17" w:name="_Toc224041916"/>
      <w:bookmarkEnd w:id="16"/>
      <w:r>
        <w:rPr>
          <w:rFonts w:ascii="Aptos" w:eastAsia="Aptos" w:hAnsi="Aptos" w:cs="Aptos"/>
          <w:b/>
        </w:rPr>
        <w:t>4. Planning prévisionnel</w:t>
      </w:r>
      <w:bookmarkEnd w:id="17"/>
    </w:p>
    <w:p w14:paraId="46AEDF1C" w14:textId="77777777" w:rsidR="00AB71EE" w:rsidRPr="00AB71EE" w:rsidRDefault="00AB71EE" w:rsidP="006D4026">
      <w:pPr>
        <w:spacing w:after="120" w:line="276" w:lineRule="auto"/>
        <w:jc w:val="both"/>
        <w:rPr>
          <w:highlight w:val="yellow"/>
        </w:rPr>
      </w:pPr>
      <w:bookmarkStart w:id="18" w:name="_Toc204769413"/>
      <w:r>
        <w:rPr>
          <w:rFonts w:eastAsia="Aptos" w:cs="Aptos"/>
        </w:rPr>
        <w:t>Phase 1 - Cadrage et prise en main (S1-S2) : Appropriation du design system existant, des règles graphiques, des assets, des outils, des produits Particulier et Entreprise, et des attentes des parties prenantes.</w:t>
      </w:r>
    </w:p>
    <w:p w14:paraId="3DB209EB" w14:textId="77777777" w:rsidR="00864DAC" w:rsidRDefault="00000000">
      <w:pPr>
        <w:spacing w:after="120" w:line="276" w:lineRule="auto"/>
      </w:pPr>
      <w:r>
        <w:rPr>
          <w:rFonts w:eastAsia="Aptos" w:cs="Aptos"/>
        </w:rPr>
        <w:t>Phase 2 - Diagnostic et priorisation (S2-S3) : Analyse des composants existants, identification des écarts, des irritants, des besoins de maintenance et des priorités de production.</w:t>
      </w:r>
    </w:p>
    <w:p w14:paraId="7233408E" w14:textId="77777777" w:rsidR="00864DAC" w:rsidRDefault="00000000">
      <w:pPr>
        <w:spacing w:after="120" w:line="276" w:lineRule="auto"/>
      </w:pPr>
      <w:r>
        <w:rPr>
          <w:rFonts w:eastAsia="Aptos" w:cs="Aptos"/>
        </w:rPr>
        <w:t>Phase 3 - Production UI et évolution du design system (à partir de S3) : Conception des maquettes, prototypes, composants, variantes et états UI, avec échanges réguliers avec l’UX Lead, les équipes produit et la DSI.</w:t>
      </w:r>
    </w:p>
    <w:p w14:paraId="33406CAA" w14:textId="77777777" w:rsidR="00864DAC" w:rsidRDefault="00000000">
      <w:pPr>
        <w:spacing w:after="120" w:line="276" w:lineRule="auto"/>
      </w:pPr>
      <w:r>
        <w:rPr>
          <w:rFonts w:eastAsia="Aptos" w:cs="Aptos"/>
        </w:rPr>
        <w:t>Phase 4 - Recette graphique et documentation (en continu) : Contrôle de conformité maquette / intégration, documentation des composants, règles d’usage, bonnes pratiques d’accessibilité et recommandations de mise en oeuvre.</w:t>
      </w:r>
    </w:p>
    <w:p w14:paraId="499590F2" w14:textId="77777777" w:rsidR="00864DAC" w:rsidRDefault="00000000">
      <w:pPr>
        <w:spacing w:after="120" w:line="276" w:lineRule="auto"/>
      </w:pPr>
      <w:r>
        <w:rPr>
          <w:rFonts w:eastAsia="Aptos" w:cs="Aptos"/>
        </w:rPr>
        <w:lastRenderedPageBreak/>
        <w:t>Phase 5 - Amélioration continue et acculturation (en continu) : Animation d’échanges, partage des standards, accompagnement des équipes et ajustements progressifs selon les retours et les évolutions produits.</w:t>
      </w:r>
    </w:p>
    <w:p w14:paraId="09E66FEE" w14:textId="77777777" w:rsidR="00AB71EE" w:rsidRPr="00B72A42" w:rsidRDefault="00AB71EE" w:rsidP="00AB71EE">
      <w:pPr>
        <w:pStyle w:val="Titre2"/>
        <w:spacing w:before="200" w:beforeAutospacing="1" w:afterAutospacing="1" w:line="276" w:lineRule="auto"/>
        <w:rPr>
          <w:rFonts w:eastAsia="Times New Roman" w:cs="Times New Roman"/>
          <w:b/>
          <w:bCs/>
          <w:kern w:val="0"/>
          <w:sz w:val="27"/>
          <w:szCs w:val="27"/>
          <w:lang w:val="en-US"/>
          <w14:ligatures w14:val="none"/>
        </w:rPr>
      </w:pPr>
      <w:bookmarkStart w:id="19" w:name="_Toc224041917"/>
      <w:bookmarkEnd w:id="18"/>
      <w:r>
        <w:rPr>
          <w:rFonts w:ascii="Aptos" w:eastAsia="Aptos" w:hAnsi="Aptos" w:cs="Aptos"/>
          <w:b/>
        </w:rPr>
        <w:t>5. Livrables</w:t>
      </w:r>
      <w:bookmarkEnd w:id="19"/>
    </w:p>
    <w:p w14:paraId="6860B308" w14:textId="77777777" w:rsidR="00AB71EE" w:rsidRPr="006D4026" w:rsidRDefault="00AB71EE" w:rsidP="006D4026">
      <w:pPr>
        <w:spacing w:after="80" w:line="276" w:lineRule="auto"/>
        <w:jc w:val="both"/>
        <w:rPr>
          <w:highlight w:val="yellow"/>
        </w:rPr>
      </w:pPr>
      <w:r>
        <w:rPr>
          <w:rFonts w:eastAsia="Aptos" w:cs="Aptos"/>
        </w:rPr>
        <w:t>• Wireframes, maquettes et prototypes Figma pour les besoins des espaces connectés Particulier et Entreprise.</w:t>
      </w:r>
    </w:p>
    <w:p w14:paraId="60C1353D" w14:textId="77777777" w:rsidR="00864DAC" w:rsidRDefault="00000000">
      <w:pPr>
        <w:spacing w:after="80" w:line="276" w:lineRule="auto"/>
      </w:pPr>
      <w:r>
        <w:rPr>
          <w:rFonts w:eastAsia="Aptos" w:cs="Aptos"/>
        </w:rPr>
        <w:t>• Composants, variantes, états et assets mis à jour dans le design system, avec structuration cohérente des librairies.</w:t>
      </w:r>
    </w:p>
    <w:p w14:paraId="6F243E3F" w14:textId="77777777" w:rsidR="00864DAC" w:rsidRDefault="00000000">
      <w:pPr>
        <w:spacing w:after="80" w:line="276" w:lineRule="auto"/>
      </w:pPr>
      <w:r>
        <w:rPr>
          <w:rFonts w:eastAsia="Aptos" w:cs="Aptos"/>
        </w:rPr>
        <w:t>• Règles d’usage et documentation UI facilitant la réutilisation, la cohérence et la maintenabilité des composants.</w:t>
      </w:r>
    </w:p>
    <w:p w14:paraId="5C74F5F7" w14:textId="77777777" w:rsidR="00864DAC" w:rsidRDefault="00000000">
      <w:pPr>
        <w:spacing w:after="80" w:line="276" w:lineRule="auto"/>
      </w:pPr>
      <w:r>
        <w:rPr>
          <w:rFonts w:eastAsia="Aptos" w:cs="Aptos"/>
        </w:rPr>
        <w:t>• Spécifications graphiques et annotations nécessaires à une intégration fiable par la DSI.</w:t>
      </w:r>
    </w:p>
    <w:p w14:paraId="0E0CE0F8" w14:textId="77777777" w:rsidR="00864DAC" w:rsidRDefault="00000000">
      <w:pPr>
        <w:spacing w:after="80" w:line="276" w:lineRule="auto"/>
      </w:pPr>
      <w:r>
        <w:rPr>
          <w:rFonts w:eastAsia="Aptos" w:cs="Aptos"/>
        </w:rPr>
        <w:t>• Supports de recette graphique, listes d’écarts et recommandations correctives.</w:t>
      </w:r>
    </w:p>
    <w:p w14:paraId="1F1F5493" w14:textId="77777777" w:rsidR="00864DAC" w:rsidRDefault="00000000">
      <w:pPr>
        <w:spacing w:after="80" w:line="276" w:lineRule="auto"/>
      </w:pPr>
      <w:r>
        <w:rPr>
          <w:rFonts w:eastAsia="Aptos" w:cs="Aptos"/>
        </w:rPr>
        <w:t>• Notes de cadrage, comptes rendus de conception et éléments de pédagogie pour l’acculturation des parties prenantes.</w:t>
      </w:r>
    </w:p>
    <w:p w14:paraId="0FFC5403" w14:textId="77777777" w:rsidR="00AB71EE" w:rsidRPr="00B72A42" w:rsidRDefault="00AB71EE" w:rsidP="00AB71EE">
      <w:pPr>
        <w:pStyle w:val="Titre1"/>
        <w:spacing w:before="200" w:beforeAutospacing="1" w:afterAutospacing="1" w:line="276" w:lineRule="auto"/>
        <w:rPr>
          <w:rFonts w:eastAsia="Times New Roman" w:cs="Times New Roman"/>
          <w:b/>
          <w:bCs/>
          <w:kern w:val="0"/>
          <w:sz w:val="36"/>
          <w:szCs w:val="36"/>
          <w:lang w:val="en-US"/>
          <w14:ligatures w14:val="none"/>
        </w:rPr>
      </w:pPr>
      <w:bookmarkStart w:id="20" w:name="_Toc224041918"/>
      <w:r>
        <w:rPr>
          <w:rFonts w:ascii="Aptos" w:eastAsia="Aptos" w:hAnsi="Aptos" w:cs="Aptos"/>
          <w:b/>
        </w:rPr>
        <w:t>IV – Nos Références</w:t>
      </w:r>
      <w:bookmarkEnd w:id="20"/>
    </w:p>
    <w:p w14:paraId="5E2FAAF0" w14:textId="77777777" w:rsidR="00AB71EE" w:rsidRDefault="00AB71EE" w:rsidP="000B43F6">
      <w:pPr>
        <w:spacing w:after="120" w:line="276" w:lineRule="auto"/>
      </w:pPr>
      <w:r>
        <w:rPr>
          <w:rFonts w:eastAsia="Aptos" w:cs="Aptos"/>
        </w:rPr>
        <w:t>Weblib - UX Designer - Octobre 2022 à février 2026 : Conception d’une solution métier SaaS BtoB / BtoBtoC, contribution active à l’évolution du design system, maintenance de la librairie de composants, production de maquettes et prototypes Figma, conception responsive, recette graphique, documentation des règles d’accessibilité.</w:t>
      </w:r>
    </w:p>
    <w:p w14:paraId="65BDADB3" w14:textId="77777777" w:rsidR="00864DAC" w:rsidRDefault="00000000">
      <w:pPr>
        <w:spacing w:after="120" w:line="276" w:lineRule="auto"/>
      </w:pPr>
      <w:r>
        <w:rPr>
          <w:rFonts w:eastAsia="Aptos" w:cs="Aptos"/>
        </w:rPr>
        <w:t>PRO BTP Groupe - UX UI Designer Manager - Janvier 2022 à novembre 2022 : Amélioration de l’expérience du site probtp.com, définition de recommandations UX/UI et de principes d’accessibilité, analyse des usages via Contentsquare et Google Analytics, proposition de nouveaux standards de cohérence visuelle, contribution à la baisse du taux de rebond de 15 %.</w:t>
      </w:r>
    </w:p>
    <w:p w14:paraId="38BD972D" w14:textId="77777777" w:rsidR="00864DAC" w:rsidRDefault="00000000">
      <w:pPr>
        <w:spacing w:after="120" w:line="276" w:lineRule="auto"/>
      </w:pPr>
      <w:r>
        <w:rPr>
          <w:rFonts w:eastAsia="Aptos" w:cs="Aptos"/>
        </w:rPr>
        <w:t>Bluesoft Group - Consultant UX UI / Intégrateur - Mars 2021 à décembre 2021 : Mission de conseil sur une solution omnicanale, animation d’ateliers de co-conception, réalisation de prototypes, structuration des jalons projet et accompagnement des décisions produit dans un cadre Agile.</w:t>
      </w:r>
    </w:p>
    <w:p w14:paraId="5C5D6972" w14:textId="77777777" w:rsidR="00864DAC" w:rsidRDefault="00000000">
      <w:pPr>
        <w:spacing w:after="120" w:line="276" w:lineRule="auto"/>
      </w:pPr>
      <w:r>
        <w:rPr>
          <w:rFonts w:eastAsia="Aptos" w:cs="Aptos"/>
        </w:rPr>
        <w:t>AssurOne Group - Chef de projet digital / Développeur d’interfaces - Janvier 2014 à janvier 2019 : Responsabilité des interfaces front-end et de l’espace client selfcare, production de wireframes, maquettes et prototypes, accompagnement de la mise en oeuvre UI, conseil en accessibilité, contribution à la réduction des appels de gestion de 20 %.</w:t>
      </w:r>
    </w:p>
    <w:p w14:paraId="06A31AED" w14:textId="77777777" w:rsidR="00864DAC" w:rsidRDefault="00000000">
      <w:pPr>
        <w:spacing w:after="120" w:line="276" w:lineRule="auto"/>
      </w:pPr>
      <w:r>
        <w:rPr>
          <w:rFonts w:eastAsia="Aptos" w:cs="Aptos"/>
        </w:rPr>
        <w:lastRenderedPageBreak/>
        <w:t>Intuit-lab - Enseignant-formateur - Janvier 2016 à mai 2021 : Formation aux méthodes UX/UI, à l’intégration web HTML/CSS et à la structuration des interfaces digitales, démontrant une forte capacité de pédagogie et de transmission.</w:t>
      </w:r>
    </w:p>
    <w:sectPr w:rsidR="00864DAC" w:rsidSect="00B91811">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F383D5" w14:textId="77777777" w:rsidR="00E401A3" w:rsidRDefault="00E401A3" w:rsidP="008E07A3">
      <w:pPr>
        <w:spacing w:after="0" w:line="240" w:lineRule="auto"/>
      </w:pPr>
      <w:r>
        <w:separator/>
      </w:r>
    </w:p>
  </w:endnote>
  <w:endnote w:type="continuationSeparator" w:id="0">
    <w:p w14:paraId="23563342" w14:textId="77777777" w:rsidR="00E401A3" w:rsidRDefault="00E401A3" w:rsidP="008E0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1890523"/>
      <w:docPartObj>
        <w:docPartGallery w:val="Page Numbers (Bottom of Page)"/>
        <w:docPartUnique/>
      </w:docPartObj>
    </w:sdtPr>
    <w:sdtContent>
      <w:p w14:paraId="12A681F5" w14:textId="77777777" w:rsidR="00F20569" w:rsidRDefault="00F20569">
        <w:pPr>
          <w:pStyle w:val="Pieddepage"/>
          <w:jc w:val="right"/>
        </w:pPr>
        <w:r>
          <w:fldChar w:fldCharType="begin"/>
        </w:r>
        <w:r>
          <w:instrText>PAGE   \* MERGEFORMAT</w:instrText>
        </w:r>
        <w:r>
          <w:fldChar w:fldCharType="separate"/>
        </w:r>
        <w:r>
          <w:t>2</w:t>
        </w:r>
        <w:r>
          <w:fldChar w:fldCharType="end"/>
        </w:r>
      </w:p>
    </w:sdtContent>
  </w:sdt>
  <w:p w14:paraId="18D4453C" w14:textId="0EBCB307" w:rsidR="008E07A3" w:rsidRDefault="00F20569">
    <w:pPr>
      <w:spacing w:after="120" w:line="276" w:lineRule="auto"/>
    </w:pPr>
    <w:r>
      <w:rPr>
        <w:rFonts w:eastAsia="Aptos" w:cs="Aptos"/>
      </w:rPr>
      <w:t xml:space="preserve">Dossier de candidature FASTOR – </w:t>
    </w:r>
    <w:r w:rsidR="00B329C0">
      <w:rPr>
        <w:rFonts w:eastAsia="Aptos" w:cs="Aptos"/>
      </w:rPr>
      <w:t>TILENCIA _</w:t>
    </w:r>
    <w:r>
      <w:rPr>
        <w:rFonts w:eastAsia="Aptos" w:cs="Aptos"/>
      </w:rPr>
      <w:t>ACA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DC31B8" w14:textId="77777777" w:rsidR="00E401A3" w:rsidRDefault="00E401A3" w:rsidP="008E07A3">
      <w:pPr>
        <w:spacing w:after="0" w:line="240" w:lineRule="auto"/>
      </w:pPr>
      <w:r>
        <w:separator/>
      </w:r>
    </w:p>
  </w:footnote>
  <w:footnote w:type="continuationSeparator" w:id="0">
    <w:p w14:paraId="2748C2AA" w14:textId="77777777" w:rsidR="00E401A3" w:rsidRDefault="00E401A3" w:rsidP="008E07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8A7EE" w14:textId="77777777" w:rsidR="00437F59" w:rsidRDefault="005C7B88">
    <w:pPr>
      <w:pStyle w:val="En-tte"/>
    </w:pPr>
    <w:r>
      <w:rPr>
        <w:noProof/>
      </w:rPr>
      <w:drawing>
        <wp:anchor distT="0" distB="0" distL="114300" distR="114300" simplePos="0" relativeHeight="251661312" behindDoc="1" locked="0" layoutInCell="1" allowOverlap="1" wp14:anchorId="759A52EB" wp14:editId="3C6BEA0C">
          <wp:simplePos x="0" y="0"/>
          <wp:positionH relativeFrom="margin">
            <wp:align>left</wp:align>
          </wp:positionH>
          <wp:positionV relativeFrom="paragraph">
            <wp:posOffset>-430530</wp:posOffset>
          </wp:positionV>
          <wp:extent cx="1476375" cy="811530"/>
          <wp:effectExtent l="0" t="0" r="0" b="0"/>
          <wp:wrapTight wrapText="bothSides">
            <wp:wrapPolygon edited="0">
              <wp:start x="8361" y="4056"/>
              <wp:lineTo x="2508" y="6592"/>
              <wp:lineTo x="1394" y="8113"/>
              <wp:lineTo x="1394" y="14704"/>
              <wp:lineTo x="15608" y="19268"/>
              <wp:lineTo x="19510" y="19268"/>
              <wp:lineTo x="20625" y="8620"/>
              <wp:lineTo x="18395" y="7099"/>
              <wp:lineTo x="10591" y="4056"/>
              <wp:lineTo x="8361" y="4056"/>
            </wp:wrapPolygon>
          </wp:wrapTight>
          <wp:docPr id="201290926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09261" name="Image 2012909261"/>
                  <pic:cNvPicPr/>
                </pic:nvPicPr>
                <pic:blipFill>
                  <a:blip r:embed="rId1">
                    <a:extLst>
                      <a:ext uri="{28A0092B-C50C-407E-A947-70E740481C1C}">
                        <a14:useLocalDpi xmlns:a14="http://schemas.microsoft.com/office/drawing/2010/main" val="0"/>
                      </a:ext>
                    </a:extLst>
                  </a:blip>
                  <a:stretch>
                    <a:fillRect/>
                  </a:stretch>
                </pic:blipFill>
                <pic:spPr>
                  <a:xfrm>
                    <a:off x="0" y="0"/>
                    <a:ext cx="1477970" cy="813002"/>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14:anchorId="12FE9EC3" wp14:editId="4D1D4E7E">
          <wp:simplePos x="0" y="0"/>
          <wp:positionH relativeFrom="margin">
            <wp:posOffset>4005580</wp:posOffset>
          </wp:positionH>
          <wp:positionV relativeFrom="paragraph">
            <wp:posOffset>-220980</wp:posOffset>
          </wp:positionV>
          <wp:extent cx="1371600" cy="478790"/>
          <wp:effectExtent l="0" t="0" r="0" b="0"/>
          <wp:wrapTight wrapText="bothSides">
            <wp:wrapPolygon edited="0">
              <wp:start x="0" y="0"/>
              <wp:lineTo x="0" y="20626"/>
              <wp:lineTo x="21300" y="20626"/>
              <wp:lineTo x="21300" y="0"/>
              <wp:lineTo x="0" y="0"/>
            </wp:wrapPolygon>
          </wp:wrapTight>
          <wp:docPr id="70921785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1600" cy="478790"/>
                  </a:xfrm>
                  <a:prstGeom prst="rect">
                    <a:avLst/>
                  </a:prstGeom>
                  <a:noFill/>
                  <a:ln>
                    <a:noFill/>
                  </a:ln>
                </pic:spPr>
              </pic:pic>
            </a:graphicData>
          </a:graphic>
          <wp14:sizeRelH relativeFrom="page">
            <wp14:pctWidth>0</wp14:pctWidth>
          </wp14:sizeRelH>
          <wp14:sizeRelV relativeFrom="page">
            <wp14:pctHeight>0</wp14:pctHeight>
          </wp14:sizeRelV>
        </wp:anchor>
      </w:drawing>
    </w:r>
    <w:r w:rsidR="008E07A3" w:rsidRPr="008E07A3">
      <w:t xml:space="preserve"> </w:t>
    </w:r>
    <w:r w:rsidR="008E07A3">
      <w:t xml:space="preserve">    </w:t>
    </w:r>
    <w:r w:rsidR="00B91811">
      <w:t xml:space="preserve">                                                                                                </w:t>
    </w:r>
    <w:r w:rsidR="008E07A3">
      <w:t xml:space="preserve">        </w:t>
    </w:r>
  </w:p>
  <w:p w14:paraId="25CF5930" w14:textId="77777777" w:rsidR="008E07A3" w:rsidRDefault="008E07A3">
    <w:pPr>
      <w:pStyle w:val="En-tte"/>
    </w:pPr>
    <w:r>
      <w:t xml:space="preserve">          </w:t>
    </w:r>
    <w:r w:rsidR="00B91811">
      <w:t xml:space="preserve">                               </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5pt;height:11.5pt" o:bullet="t">
        <v:imagedata r:id="rId1" o:title="mso2C5F"/>
      </v:shape>
    </w:pict>
  </w:numPicBullet>
  <w:abstractNum w:abstractNumId="0" w15:restartNumberingAfterBreak="0">
    <w:nsid w:val="025808BD"/>
    <w:multiLevelType w:val="hybridMultilevel"/>
    <w:tmpl w:val="F5567514"/>
    <w:lvl w:ilvl="0" w:tplc="9C80664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83B7279"/>
    <w:multiLevelType w:val="multilevel"/>
    <w:tmpl w:val="C90C5A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8B16FB"/>
    <w:multiLevelType w:val="hybridMultilevel"/>
    <w:tmpl w:val="B484AB6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22D0CBC"/>
    <w:multiLevelType w:val="multilevel"/>
    <w:tmpl w:val="85741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711A99"/>
    <w:multiLevelType w:val="multilevel"/>
    <w:tmpl w:val="451A5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131A62"/>
    <w:multiLevelType w:val="hybridMultilevel"/>
    <w:tmpl w:val="BE10E22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46A43480"/>
    <w:multiLevelType w:val="hybridMultilevel"/>
    <w:tmpl w:val="879AA5E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4D7E1827"/>
    <w:multiLevelType w:val="hybridMultilevel"/>
    <w:tmpl w:val="34DC6DA8"/>
    <w:lvl w:ilvl="0" w:tplc="497CA8E6">
      <w:start w:val="3"/>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D8240A7"/>
    <w:multiLevelType w:val="multilevel"/>
    <w:tmpl w:val="160AC1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D078EC"/>
    <w:multiLevelType w:val="multilevel"/>
    <w:tmpl w:val="A0044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EFB03ED"/>
    <w:multiLevelType w:val="hybridMultilevel"/>
    <w:tmpl w:val="A678F6A0"/>
    <w:lvl w:ilvl="0" w:tplc="040C0017">
      <w:start w:val="1"/>
      <w:numFmt w:val="low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1" w15:restartNumberingAfterBreak="0">
    <w:nsid w:val="64741291"/>
    <w:multiLevelType w:val="hybridMultilevel"/>
    <w:tmpl w:val="C69E441C"/>
    <w:lvl w:ilvl="0" w:tplc="679EA58E">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65943763"/>
    <w:multiLevelType w:val="hybridMultilevel"/>
    <w:tmpl w:val="239EC2B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EE92D5E"/>
    <w:multiLevelType w:val="hybridMultilevel"/>
    <w:tmpl w:val="14DA775E"/>
    <w:lvl w:ilvl="0" w:tplc="934AE790">
      <w:start w:val="3"/>
      <w:numFmt w:val="bullet"/>
      <w:lvlText w:val=""/>
      <w:lvlJc w:val="left"/>
      <w:pPr>
        <w:ind w:left="1080" w:hanging="360"/>
      </w:pPr>
      <w:rPr>
        <w:rFonts w:ascii="Symbol" w:eastAsiaTheme="minorHAnsi" w:hAnsi="Symbol"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78E70999"/>
    <w:multiLevelType w:val="hybridMultilevel"/>
    <w:tmpl w:val="D346B874"/>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51363568">
    <w:abstractNumId w:val="12"/>
  </w:num>
  <w:num w:numId="2" w16cid:durableId="411240234">
    <w:abstractNumId w:val="14"/>
  </w:num>
  <w:num w:numId="3" w16cid:durableId="119737226">
    <w:abstractNumId w:val="10"/>
  </w:num>
  <w:num w:numId="4" w16cid:durableId="1977760976">
    <w:abstractNumId w:val="11"/>
  </w:num>
  <w:num w:numId="5" w16cid:durableId="1654290935">
    <w:abstractNumId w:val="6"/>
  </w:num>
  <w:num w:numId="6" w16cid:durableId="1719470845">
    <w:abstractNumId w:val="5"/>
  </w:num>
  <w:num w:numId="7" w16cid:durableId="1292635021">
    <w:abstractNumId w:val="0"/>
  </w:num>
  <w:num w:numId="8" w16cid:durableId="1709528277">
    <w:abstractNumId w:val="2"/>
  </w:num>
  <w:num w:numId="9" w16cid:durableId="1002007016">
    <w:abstractNumId w:val="7"/>
  </w:num>
  <w:num w:numId="10" w16cid:durableId="367797301">
    <w:abstractNumId w:val="13"/>
  </w:num>
  <w:num w:numId="11" w16cid:durableId="1901163406">
    <w:abstractNumId w:val="3"/>
  </w:num>
  <w:num w:numId="12" w16cid:durableId="684013375">
    <w:abstractNumId w:val="8"/>
  </w:num>
  <w:num w:numId="13" w16cid:durableId="829255836">
    <w:abstractNumId w:val="1"/>
  </w:num>
  <w:num w:numId="14" w16cid:durableId="1920826811">
    <w:abstractNumId w:val="9"/>
  </w:num>
  <w:num w:numId="15" w16cid:durableId="452247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7A3"/>
    <w:rsid w:val="00001BEE"/>
    <w:rsid w:val="00044142"/>
    <w:rsid w:val="000934C2"/>
    <w:rsid w:val="000A26C2"/>
    <w:rsid w:val="000A75E0"/>
    <w:rsid w:val="000B43F6"/>
    <w:rsid w:val="00235451"/>
    <w:rsid w:val="002D47AE"/>
    <w:rsid w:val="002D53CB"/>
    <w:rsid w:val="003304C1"/>
    <w:rsid w:val="003547E8"/>
    <w:rsid w:val="003C6F94"/>
    <w:rsid w:val="00437F59"/>
    <w:rsid w:val="00440982"/>
    <w:rsid w:val="005C7757"/>
    <w:rsid w:val="005C7B88"/>
    <w:rsid w:val="00680BEC"/>
    <w:rsid w:val="006D4026"/>
    <w:rsid w:val="00703000"/>
    <w:rsid w:val="00735DC6"/>
    <w:rsid w:val="00766A5B"/>
    <w:rsid w:val="00773B31"/>
    <w:rsid w:val="007E6354"/>
    <w:rsid w:val="008352D9"/>
    <w:rsid w:val="00864DAC"/>
    <w:rsid w:val="008E07A3"/>
    <w:rsid w:val="008E1F34"/>
    <w:rsid w:val="00901DA1"/>
    <w:rsid w:val="0094786C"/>
    <w:rsid w:val="00997F8D"/>
    <w:rsid w:val="00A62EA1"/>
    <w:rsid w:val="00A92361"/>
    <w:rsid w:val="00AB71EE"/>
    <w:rsid w:val="00AD2FFC"/>
    <w:rsid w:val="00AE7604"/>
    <w:rsid w:val="00B329C0"/>
    <w:rsid w:val="00B91811"/>
    <w:rsid w:val="00C25139"/>
    <w:rsid w:val="00CC0DE0"/>
    <w:rsid w:val="00CE2BD3"/>
    <w:rsid w:val="00D1055F"/>
    <w:rsid w:val="00E3683D"/>
    <w:rsid w:val="00E401A3"/>
    <w:rsid w:val="00ED2C01"/>
    <w:rsid w:val="00F20569"/>
    <w:rsid w:val="00F830B8"/>
    <w:rsid w:val="00F9437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07E30D"/>
  <w15:chartTrackingRefBased/>
  <w15:docId w15:val="{5881C68B-052C-410C-8E18-9FAC8D4C3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ptos" w:hAnsi="Aptos"/>
    </w:rPr>
  </w:style>
  <w:style w:type="paragraph" w:styleId="Titre1">
    <w:name w:val="heading 1"/>
    <w:basedOn w:val="Normal"/>
    <w:next w:val="Normal"/>
    <w:link w:val="Titre1Car"/>
    <w:uiPriority w:val="9"/>
    <w:qFormat/>
    <w:rsid w:val="008E07A3"/>
    <w:pPr>
      <w:keepNext/>
      <w:keepLines/>
      <w:spacing w:before="360" w:after="80"/>
      <w:outlineLvl w:val="0"/>
    </w:pPr>
    <w:rPr>
      <w:rFonts w:asciiTheme="majorHAnsi" w:eastAsiaTheme="majorEastAsia" w:hAnsiTheme="majorHAnsi" w:cstheme="majorBidi"/>
      <w:color w:val="0F4761" w:themeColor="accent1" w:themeShade="BF"/>
      <w:szCs w:val="40"/>
    </w:rPr>
  </w:style>
  <w:style w:type="paragraph" w:styleId="Titre2">
    <w:name w:val="heading 2"/>
    <w:basedOn w:val="Normal"/>
    <w:next w:val="Normal"/>
    <w:link w:val="Titre2Car"/>
    <w:uiPriority w:val="9"/>
    <w:semiHidden/>
    <w:unhideWhenUsed/>
    <w:qFormat/>
    <w:rsid w:val="008E07A3"/>
    <w:pPr>
      <w:keepNext/>
      <w:keepLines/>
      <w:spacing w:before="160" w:after="80"/>
      <w:outlineLvl w:val="1"/>
    </w:pPr>
    <w:rPr>
      <w:rFonts w:asciiTheme="majorHAnsi" w:eastAsiaTheme="majorEastAsia" w:hAnsiTheme="majorHAnsi" w:cstheme="majorBidi"/>
      <w:color w:val="0F4761" w:themeColor="accent1" w:themeShade="BF"/>
      <w:szCs w:val="32"/>
    </w:rPr>
  </w:style>
  <w:style w:type="paragraph" w:styleId="Titre3">
    <w:name w:val="heading 3"/>
    <w:basedOn w:val="Normal"/>
    <w:next w:val="Normal"/>
    <w:link w:val="Titre3Car"/>
    <w:uiPriority w:val="9"/>
    <w:semiHidden/>
    <w:unhideWhenUsed/>
    <w:qFormat/>
    <w:rsid w:val="008E07A3"/>
    <w:pPr>
      <w:keepNext/>
      <w:keepLines/>
      <w:spacing w:before="160" w:after="80"/>
      <w:outlineLvl w:val="2"/>
    </w:pPr>
    <w:rPr>
      <w:rFonts w:eastAsiaTheme="majorEastAsia" w:cstheme="majorBidi"/>
      <w:color w:val="0F4761" w:themeColor="accent1" w:themeShade="BF"/>
      <w:szCs w:val="28"/>
    </w:rPr>
  </w:style>
  <w:style w:type="paragraph" w:styleId="Titre4">
    <w:name w:val="heading 4"/>
    <w:basedOn w:val="Normal"/>
    <w:next w:val="Normal"/>
    <w:link w:val="Titre4Car"/>
    <w:uiPriority w:val="9"/>
    <w:semiHidden/>
    <w:unhideWhenUsed/>
    <w:qFormat/>
    <w:rsid w:val="008E07A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E07A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E07A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E07A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E07A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E07A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E07A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E07A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E07A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E07A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E07A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E07A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E07A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E07A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E07A3"/>
    <w:rPr>
      <w:rFonts w:eastAsiaTheme="majorEastAsia" w:cstheme="majorBidi"/>
      <w:color w:val="272727" w:themeColor="text1" w:themeTint="D8"/>
    </w:rPr>
  </w:style>
  <w:style w:type="paragraph" w:styleId="Titre">
    <w:name w:val="Title"/>
    <w:basedOn w:val="Normal"/>
    <w:next w:val="Normal"/>
    <w:link w:val="TitreCar"/>
    <w:uiPriority w:val="10"/>
    <w:qFormat/>
    <w:rsid w:val="008E07A3"/>
    <w:pPr>
      <w:spacing w:after="80" w:line="240" w:lineRule="auto"/>
      <w:contextualSpacing/>
    </w:pPr>
    <w:rPr>
      <w:rFonts w:asciiTheme="majorHAnsi" w:eastAsiaTheme="majorEastAsia" w:hAnsiTheme="majorHAnsi" w:cstheme="majorBidi"/>
      <w:spacing w:val="-10"/>
      <w:kern w:val="28"/>
      <w:szCs w:val="56"/>
    </w:rPr>
  </w:style>
  <w:style w:type="character" w:customStyle="1" w:styleId="TitreCar">
    <w:name w:val="Titre Car"/>
    <w:basedOn w:val="Policepardfaut"/>
    <w:link w:val="Titre"/>
    <w:uiPriority w:val="10"/>
    <w:rsid w:val="008E07A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E07A3"/>
    <w:pPr>
      <w:numPr>
        <w:ilvl w:val="1"/>
      </w:numPr>
    </w:pPr>
    <w:rPr>
      <w:rFonts w:eastAsiaTheme="majorEastAsia" w:cstheme="majorBidi"/>
      <w:color w:val="595959" w:themeColor="text1" w:themeTint="A6"/>
      <w:spacing w:val="15"/>
      <w:szCs w:val="28"/>
    </w:rPr>
  </w:style>
  <w:style w:type="character" w:customStyle="1" w:styleId="Sous-titreCar">
    <w:name w:val="Sous-titre Car"/>
    <w:basedOn w:val="Policepardfaut"/>
    <w:link w:val="Sous-titre"/>
    <w:uiPriority w:val="11"/>
    <w:rsid w:val="008E07A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E07A3"/>
    <w:pPr>
      <w:spacing w:before="160"/>
      <w:jc w:val="center"/>
    </w:pPr>
    <w:rPr>
      <w:i/>
      <w:iCs/>
      <w:color w:val="404040" w:themeColor="text1" w:themeTint="BF"/>
    </w:rPr>
  </w:style>
  <w:style w:type="character" w:customStyle="1" w:styleId="CitationCar">
    <w:name w:val="Citation Car"/>
    <w:basedOn w:val="Policepardfaut"/>
    <w:link w:val="Citation"/>
    <w:uiPriority w:val="29"/>
    <w:rsid w:val="008E07A3"/>
    <w:rPr>
      <w:i/>
      <w:iCs/>
      <w:color w:val="404040" w:themeColor="text1" w:themeTint="BF"/>
    </w:rPr>
  </w:style>
  <w:style w:type="paragraph" w:styleId="Paragraphedeliste">
    <w:name w:val="List Paragraph"/>
    <w:basedOn w:val="Normal"/>
    <w:uiPriority w:val="34"/>
    <w:qFormat/>
    <w:rsid w:val="008E07A3"/>
    <w:pPr>
      <w:ind w:left="720"/>
      <w:contextualSpacing/>
    </w:pPr>
  </w:style>
  <w:style w:type="character" w:styleId="Accentuationintense">
    <w:name w:val="Intense Emphasis"/>
    <w:basedOn w:val="Policepardfaut"/>
    <w:uiPriority w:val="21"/>
    <w:qFormat/>
    <w:rsid w:val="008E07A3"/>
    <w:rPr>
      <w:i/>
      <w:iCs/>
      <w:color w:val="0F4761" w:themeColor="accent1" w:themeShade="BF"/>
    </w:rPr>
  </w:style>
  <w:style w:type="paragraph" w:styleId="Citationintense">
    <w:name w:val="Intense Quote"/>
    <w:basedOn w:val="Normal"/>
    <w:next w:val="Normal"/>
    <w:link w:val="CitationintenseCar"/>
    <w:uiPriority w:val="30"/>
    <w:qFormat/>
    <w:rsid w:val="008E07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E07A3"/>
    <w:rPr>
      <w:i/>
      <w:iCs/>
      <w:color w:val="0F4761" w:themeColor="accent1" w:themeShade="BF"/>
    </w:rPr>
  </w:style>
  <w:style w:type="character" w:styleId="Rfrenceintense">
    <w:name w:val="Intense Reference"/>
    <w:basedOn w:val="Policepardfaut"/>
    <w:uiPriority w:val="32"/>
    <w:qFormat/>
    <w:rsid w:val="008E07A3"/>
    <w:rPr>
      <w:b/>
      <w:bCs/>
      <w:smallCaps/>
      <w:color w:val="0F4761" w:themeColor="accent1" w:themeShade="BF"/>
      <w:spacing w:val="5"/>
    </w:rPr>
  </w:style>
  <w:style w:type="paragraph" w:styleId="En-tte">
    <w:name w:val="header"/>
    <w:basedOn w:val="Normal"/>
    <w:link w:val="En-tteCar"/>
    <w:uiPriority w:val="99"/>
    <w:unhideWhenUsed/>
    <w:rsid w:val="008E07A3"/>
    <w:pPr>
      <w:tabs>
        <w:tab w:val="center" w:pos="4536"/>
        <w:tab w:val="right" w:pos="9072"/>
      </w:tabs>
      <w:spacing w:after="0" w:line="240" w:lineRule="auto"/>
    </w:pPr>
  </w:style>
  <w:style w:type="character" w:customStyle="1" w:styleId="En-tteCar">
    <w:name w:val="En-tête Car"/>
    <w:basedOn w:val="Policepardfaut"/>
    <w:link w:val="En-tte"/>
    <w:uiPriority w:val="99"/>
    <w:rsid w:val="008E07A3"/>
  </w:style>
  <w:style w:type="paragraph" w:styleId="Pieddepage">
    <w:name w:val="footer"/>
    <w:basedOn w:val="Normal"/>
    <w:link w:val="PieddepageCar"/>
    <w:uiPriority w:val="99"/>
    <w:unhideWhenUsed/>
    <w:rsid w:val="008E07A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E07A3"/>
  </w:style>
  <w:style w:type="paragraph" w:styleId="En-ttedetabledesmatires">
    <w:name w:val="TOC Heading"/>
    <w:basedOn w:val="Titre1"/>
    <w:next w:val="Normal"/>
    <w:uiPriority w:val="39"/>
    <w:unhideWhenUsed/>
    <w:qFormat/>
    <w:rsid w:val="008E1F34"/>
    <w:pPr>
      <w:spacing w:before="240" w:after="0" w:line="259" w:lineRule="auto"/>
      <w:outlineLvl w:val="9"/>
    </w:pPr>
    <w:rPr>
      <w:rFonts w:ascii="Aptos" w:hAnsi="Aptos"/>
      <w:kern w:val="0"/>
      <w:szCs w:val="32"/>
      <w:lang w:eastAsia="fr-FR"/>
      <w14:ligatures w14:val="none"/>
    </w:rPr>
  </w:style>
  <w:style w:type="paragraph" w:styleId="TM1">
    <w:name w:val="toc 1"/>
    <w:basedOn w:val="Normal"/>
    <w:next w:val="Normal"/>
    <w:autoRedefine/>
    <w:uiPriority w:val="39"/>
    <w:unhideWhenUsed/>
    <w:rsid w:val="008E1F34"/>
    <w:pPr>
      <w:spacing w:after="100"/>
    </w:pPr>
  </w:style>
  <w:style w:type="character" w:styleId="Lienhypertexte">
    <w:name w:val="Hyperlink"/>
    <w:basedOn w:val="Policepardfaut"/>
    <w:uiPriority w:val="99"/>
    <w:unhideWhenUsed/>
    <w:rsid w:val="008E1F34"/>
    <w:rPr>
      <w:color w:val="467886" w:themeColor="hyperlink"/>
      <w:u w:val="single"/>
    </w:rPr>
  </w:style>
  <w:style w:type="paragraph" w:styleId="TM2">
    <w:name w:val="toc 2"/>
    <w:basedOn w:val="Normal"/>
    <w:next w:val="Normal"/>
    <w:autoRedefine/>
    <w:uiPriority w:val="39"/>
    <w:unhideWhenUsed/>
    <w:rsid w:val="00AB71EE"/>
    <w:pPr>
      <w:spacing w:after="100"/>
      <w:ind w:left="240"/>
    </w:pPr>
  </w:style>
  <w:style w:type="paragraph" w:styleId="TM3">
    <w:name w:val="toc 3"/>
    <w:basedOn w:val="Normal"/>
    <w:next w:val="Normal"/>
    <w:autoRedefine/>
    <w:uiPriority w:val="39"/>
    <w:unhideWhenUsed/>
    <w:rsid w:val="00AB71EE"/>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8DC874-DBC0-45C8-BBFC-1F433A426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1740</Words>
  <Characters>9572</Characters>
  <Application>Microsoft Office Word</Application>
  <DocSecurity>0</DocSecurity>
  <Lines>79</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Carmel Oriol</dc:creator>
  <cp:keywords/>
  <dc:description/>
  <cp:lastModifiedBy>David Vandenborght</cp:lastModifiedBy>
  <cp:revision>4</cp:revision>
  <cp:lastPrinted>2026-03-10T12:34:00Z</cp:lastPrinted>
  <dcterms:created xsi:type="dcterms:W3CDTF">2026-03-10T12:33:00Z</dcterms:created>
  <dcterms:modified xsi:type="dcterms:W3CDTF">2026-03-10T12:35:00Z</dcterms:modified>
</cp:coreProperties>
</file>