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43F73" w14:textId="77777777" w:rsidR="002614FB" w:rsidRDefault="002614FB">
      <w:pPr>
        <w:spacing w:after="60"/>
      </w:pPr>
    </w:p>
    <w:p w14:paraId="6902F35F" w14:textId="77777777" w:rsidR="002614FB" w:rsidRDefault="002614FB">
      <w:pPr>
        <w:spacing w:after="60"/>
      </w:pPr>
    </w:p>
    <w:p w14:paraId="313F6020" w14:textId="77777777" w:rsidR="002614FB" w:rsidRDefault="002614FB">
      <w:pPr>
        <w:spacing w:after="60"/>
      </w:pPr>
    </w:p>
    <w:p w14:paraId="67577294" w14:textId="7136CF9D" w:rsidR="009D4DC0" w:rsidRPr="00DD12E1" w:rsidRDefault="003C0BAD">
      <w:pPr>
        <w:pBdr>
          <w:bottom w:val="single" w:sz="8" w:space="1" w:color="C0272D"/>
        </w:pBdr>
        <w:spacing w:after="360"/>
        <w:rPr>
          <w:sz w:val="24"/>
          <w:szCs w:val="24"/>
        </w:rPr>
      </w:pPr>
      <w:r>
        <w:rPr>
          <w:sz w:val="24"/>
          <w:szCs w:val="24"/>
        </w:rPr>
        <w:t>DIRECTEUR</w:t>
      </w:r>
      <w:r w:rsidRPr="00DD12E1">
        <w:rPr>
          <w:sz w:val="24"/>
          <w:szCs w:val="24"/>
        </w:rPr>
        <w:t xml:space="preserve"> DE PROJET CYBERSÉCURITÉ </w:t>
      </w:r>
      <w:r>
        <w:rPr>
          <w:sz w:val="24"/>
          <w:szCs w:val="24"/>
        </w:rPr>
        <w:t xml:space="preserve">: </w:t>
      </w:r>
      <w:r w:rsidRPr="00DD12E1">
        <w:rPr>
          <w:sz w:val="24"/>
          <w:szCs w:val="24"/>
        </w:rPr>
        <w:t>APPLICATION SECURITY / PKI / DEVSECOPS</w:t>
      </w:r>
    </w:p>
    <w:p w14:paraId="271BDEAB" w14:textId="2217CE51" w:rsidR="003C0BAD" w:rsidRDefault="003C0BAD" w:rsidP="003C0BAD">
      <w:pPr>
        <w:shd w:val="clear" w:color="auto" w:fill="C0272D"/>
        <w:spacing w:before="200" w:after="80"/>
      </w:pPr>
      <w:r>
        <w:rPr>
          <w:b/>
          <w:color w:val="FFFFFF"/>
        </w:rPr>
        <w:t>SYNTHESE DU PROFIL</w:t>
      </w:r>
    </w:p>
    <w:p w14:paraId="207FA909" w14:textId="22335A4C" w:rsidR="003C0BAD" w:rsidRDefault="00DD12E1">
      <w:pPr>
        <w:spacing w:after="160"/>
        <w:jc w:val="both"/>
      </w:pPr>
      <w:r>
        <w:t>Directeur de projet cybersécurité</w:t>
      </w:r>
      <w:r w:rsidR="003C0BAD">
        <w:t xml:space="preserve"> expert, spécialisé</w:t>
      </w:r>
      <w:r>
        <w:t xml:space="preserve"> en Application Security / PKI, avec une forte expérience du pilotage de projets et chantiers de sécurité des applications au sein d’environnements complexes, digitaux, internationaux et multi-entités. </w:t>
      </w:r>
    </w:p>
    <w:p w14:paraId="20D3987F" w14:textId="640EA292" w:rsidR="00DD12E1" w:rsidRDefault="00000000">
      <w:pPr>
        <w:spacing w:after="160"/>
        <w:jc w:val="both"/>
      </w:pPr>
      <w:r>
        <w:t xml:space="preserve">Expérience en cadrage, planification, exécution, suivi et coordination transverse de sujets sécurité avec équipes développement, infrastructure, opérations, conformité et prestataires. </w:t>
      </w:r>
    </w:p>
    <w:p w14:paraId="0A305324" w14:textId="77777777" w:rsidR="003C0BAD" w:rsidRDefault="00000000">
      <w:pPr>
        <w:spacing w:after="160"/>
        <w:jc w:val="both"/>
      </w:pPr>
      <w:r>
        <w:t xml:space="preserve">Intervention sur gouvernance sécurité, </w:t>
      </w:r>
      <w:proofErr w:type="spellStart"/>
      <w:r>
        <w:t>DevSecOps</w:t>
      </w:r>
      <w:proofErr w:type="spellEnd"/>
      <w:r>
        <w:t xml:space="preserve">, sécurité des applications, animation d’ateliers, comitologie, tableaux de bord, reporting, gestion des risques, plans d’action et coordination de chantiers impliquant identité, authentification forte, certificats et PKI. </w:t>
      </w:r>
    </w:p>
    <w:p w14:paraId="3C51872E" w14:textId="77777777" w:rsidR="003C0BAD" w:rsidRDefault="00000000">
      <w:pPr>
        <w:spacing w:after="160"/>
        <w:jc w:val="both"/>
      </w:pPr>
      <w:r>
        <w:t xml:space="preserve">Positionnement particulièrement renforcé sur les sujets Application Security / PKI dans le cadre de l’interfaçage et de la mise en compatibilité sécurisée de solutions métiers entre banques centrales européennes, avec prise en compte approfondie des exigences de sécurité applicative, de confiance, de chiffrement, de contrôle d’accès et d’échanges sécurisés entre systèmes. </w:t>
      </w:r>
    </w:p>
    <w:p w14:paraId="708DF5DC" w14:textId="7AF24BC4" w:rsidR="009D4DC0" w:rsidRDefault="00000000">
      <w:pPr>
        <w:spacing w:after="160"/>
        <w:jc w:val="both"/>
      </w:pPr>
      <w:r>
        <w:t xml:space="preserve">Pratique de Jira, Confluence, </w:t>
      </w:r>
      <w:proofErr w:type="spellStart"/>
      <w:r>
        <w:t>ServiceNow</w:t>
      </w:r>
      <w:proofErr w:type="spellEnd"/>
      <w:r>
        <w:t>, MS Project et Excel.</w:t>
      </w:r>
    </w:p>
    <w:p w14:paraId="111DDBD5" w14:textId="77777777" w:rsidR="009D4DC0" w:rsidRDefault="00000000">
      <w:pPr>
        <w:shd w:val="clear" w:color="auto" w:fill="C0272D"/>
        <w:spacing w:before="200" w:after="80"/>
      </w:pPr>
      <w:r>
        <w:rPr>
          <w:b/>
          <w:color w:val="FFFFFF"/>
        </w:rPr>
        <w:t>ADÉQUATION AVEC LA MISSION BPCE IT</w:t>
      </w:r>
    </w:p>
    <w:tbl>
      <w:tblPr>
        <w:tblW w:w="0" w:type="auto"/>
        <w:jc w:val="center"/>
        <w:tblLayout w:type="fixed"/>
        <w:tblLook w:val="04A0" w:firstRow="1" w:lastRow="0" w:firstColumn="1" w:lastColumn="0" w:noHBand="0" w:noVBand="1"/>
      </w:tblPr>
      <w:tblGrid>
        <w:gridCol w:w="2948"/>
        <w:gridCol w:w="6350"/>
      </w:tblGrid>
      <w:tr w:rsidR="009D4DC0" w14:paraId="623599F1" w14:textId="77777777">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418724DD" w14:textId="77777777" w:rsidR="009D4DC0" w:rsidRDefault="00000000">
            <w:r>
              <w:t>Pilotage &amp; coordination</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789E0BBF" w14:textId="77777777" w:rsidR="009D4DC0" w:rsidRDefault="00000000">
            <w:r>
              <w:t>Cadrage, planification, exécution, suivi, coordination des projets, comitologie, reporting, tableaux de bord, suivi des risques, gestion de budgets et fournisseurs.</w:t>
            </w:r>
          </w:p>
        </w:tc>
      </w:tr>
      <w:tr w:rsidR="009D4DC0" w14:paraId="115F49DF" w14:textId="77777777">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3D5FA09F" w14:textId="77777777" w:rsidR="009D4DC0" w:rsidRDefault="00000000">
            <w:r>
              <w:t>Sécurité des applications</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18A1C716" w14:textId="77777777" w:rsidR="009D4DC0" w:rsidRDefault="00000000">
            <w:r>
              <w:t>Sécurité des applications, DevSecOps, sécurité des API, OWASP Top 10, SAST, DAST, IAM/PAM/MFA/SSO, certificats / PKI, collaboration avec équipes DevOps et sécurité.</w:t>
            </w:r>
          </w:p>
        </w:tc>
      </w:tr>
      <w:tr w:rsidR="009D4DC0" w14:paraId="05BCEE53" w14:textId="77777777">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0FA1B04E" w14:textId="77777777" w:rsidR="009D4DC0" w:rsidRDefault="00000000">
            <w:r>
              <w:t>Contexte &amp; outils</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48F54DF8" w14:textId="77777777" w:rsidR="009D4DC0" w:rsidRDefault="00000000">
            <w:r>
              <w:t>Environnements bancaire et groupe multi-entité ; anglais courant ; Jira, Confluence, ServiceNow, MS Project, Excel ; expérience de compatibilité sécurisée entre solutions métiers.</w:t>
            </w:r>
          </w:p>
        </w:tc>
      </w:tr>
    </w:tbl>
    <w:p w14:paraId="3C0FA7B7" w14:textId="77777777" w:rsidR="009D4DC0" w:rsidRDefault="00000000">
      <w:pPr>
        <w:shd w:val="clear" w:color="auto" w:fill="C0272D"/>
        <w:spacing w:before="200" w:after="80"/>
      </w:pPr>
      <w:r>
        <w:rPr>
          <w:b/>
          <w:color w:val="FFFFFF"/>
        </w:rPr>
        <w:t>COMPÉTENCES CLÉS</w:t>
      </w:r>
    </w:p>
    <w:tbl>
      <w:tblPr>
        <w:tblW w:w="0" w:type="auto"/>
        <w:jc w:val="center"/>
        <w:tblLayout w:type="fixed"/>
        <w:tblLook w:val="04A0" w:firstRow="1" w:lastRow="0" w:firstColumn="1" w:lastColumn="0" w:noHBand="0" w:noVBand="1"/>
      </w:tblPr>
      <w:tblGrid>
        <w:gridCol w:w="4592"/>
        <w:gridCol w:w="4706"/>
      </w:tblGrid>
      <w:tr w:rsidR="009D4DC0" w14:paraId="4A3EE9DD" w14:textId="77777777">
        <w:trPr>
          <w:jc w:val="center"/>
        </w:trPr>
        <w:tc>
          <w:tcPr>
            <w:tcW w:w="4592" w:type="dxa"/>
            <w:tcBorders>
              <w:top w:val="nil"/>
              <w:left w:val="nil"/>
              <w:bottom w:val="nil"/>
              <w:right w:val="single" w:sz="8" w:space="0" w:color="888888"/>
            </w:tcBorders>
            <w:tcMar>
              <w:top w:w="70" w:type="dxa"/>
              <w:left w:w="120" w:type="dxa"/>
              <w:bottom w:w="70" w:type="dxa"/>
              <w:right w:w="120" w:type="dxa"/>
            </w:tcMar>
          </w:tcPr>
          <w:p w14:paraId="3FA1EED9" w14:textId="16A625F8" w:rsidR="009D4DC0" w:rsidRDefault="00000000">
            <w:r w:rsidRPr="003C0BAD">
              <w:rPr>
                <w:b/>
                <w:color w:val="C0272D"/>
              </w:rPr>
              <w:t xml:space="preserve">– </w:t>
            </w:r>
            <w:r w:rsidR="003C0BAD" w:rsidRPr="003C0BAD">
              <w:rPr>
                <w:b/>
                <w:color w:val="C0272D"/>
              </w:rPr>
              <w:t>Direction</w:t>
            </w:r>
            <w:r w:rsidRPr="003C0BAD">
              <w:rPr>
                <w:b/>
                <w:color w:val="C0272D"/>
              </w:rPr>
              <w:t xml:space="preserve"> de projet</w:t>
            </w:r>
            <w:r>
              <w:t xml:space="preserve"> : cadrage, lotissement, planning, coordination, animation d’ateliers, comitologie, tableaux de bord, suivi des livrables, risques et plans d’action</w:t>
            </w:r>
            <w:r w:rsidR="003C0BAD">
              <w:t>, restitution COMEX.</w:t>
            </w:r>
            <w:r>
              <w:br/>
            </w:r>
            <w:r w:rsidRPr="003C0BAD">
              <w:rPr>
                <w:b/>
                <w:color w:val="C0272D"/>
              </w:rPr>
              <w:t>– Méthodes et outils</w:t>
            </w:r>
            <w:r>
              <w:t xml:space="preserve"> : Agile, Jira, Confluence, ServiceNow, MS Project, Excel.</w:t>
            </w:r>
            <w:r>
              <w:br/>
            </w:r>
            <w:r w:rsidRPr="003C0BAD">
              <w:rPr>
                <w:b/>
                <w:color w:val="C0272D"/>
              </w:rPr>
              <w:t>– Cybersécurité</w:t>
            </w:r>
            <w:r>
              <w:t xml:space="preserve"> : gouvernance, conformité (PCI DSS, DORA, LPM, NIS2, ISO 27001, NIST), audits, pentests, gestion des vulnérabilités.</w:t>
            </w:r>
          </w:p>
        </w:tc>
        <w:tc>
          <w:tcPr>
            <w:tcW w:w="4706" w:type="dxa"/>
            <w:tcBorders>
              <w:top w:val="nil"/>
              <w:left w:val="single" w:sz="8" w:space="0" w:color="888888"/>
              <w:bottom w:val="nil"/>
              <w:right w:val="nil"/>
            </w:tcBorders>
            <w:tcMar>
              <w:top w:w="70" w:type="dxa"/>
              <w:left w:w="120" w:type="dxa"/>
              <w:bottom w:w="70" w:type="dxa"/>
              <w:right w:w="120" w:type="dxa"/>
            </w:tcMar>
          </w:tcPr>
          <w:p w14:paraId="4254CCBB" w14:textId="7212E3EB" w:rsidR="009D4DC0" w:rsidRDefault="00000000">
            <w:r w:rsidRPr="003C0BAD">
              <w:rPr>
                <w:b/>
                <w:color w:val="C0272D"/>
              </w:rPr>
              <w:t>– Sécurité des applications</w:t>
            </w:r>
            <w:r>
              <w:t xml:space="preserve"> : DevSecOps, sécurité API, OWASP Top 10, SAST, DAST, IAM, PAM, MFA, SSO.</w:t>
            </w:r>
            <w:r>
              <w:br/>
            </w:r>
            <w:r w:rsidRPr="003C0BAD">
              <w:rPr>
                <w:b/>
                <w:color w:val="C0272D"/>
              </w:rPr>
              <w:t>– Management &amp; coordination</w:t>
            </w:r>
            <w:r>
              <w:t xml:space="preserve"> : équipes locales et internationales (5 à 60 personnes</w:t>
            </w:r>
            <w:r w:rsidR="003C0BAD">
              <w:t> : Inde</w:t>
            </w:r>
            <w:r>
              <w:t>), coordination métiers / développement / technique / opérations / conformité / prestataires.</w:t>
            </w:r>
          </w:p>
        </w:tc>
      </w:tr>
    </w:tbl>
    <w:p w14:paraId="6A9EAB82" w14:textId="77777777" w:rsidR="00DD12E1" w:rsidRDefault="00DD12E1" w:rsidP="00DD12E1">
      <w:pPr>
        <w:shd w:val="clear" w:color="auto" w:fill="C0272D"/>
        <w:spacing w:before="200" w:after="80"/>
      </w:pPr>
      <w:r>
        <w:rPr>
          <w:b/>
          <w:color w:val="FFFFFF"/>
        </w:rPr>
        <w:t>LIVRABLES CL</w:t>
      </w:r>
      <w:r w:rsidRPr="00DD12E1">
        <w:rPr>
          <w:b/>
          <w:color w:val="FFFFFF"/>
        </w:rPr>
        <w:t>ÉS</w:t>
      </w:r>
    </w:p>
    <w:p w14:paraId="08156895" w14:textId="0652BE10" w:rsidR="00DD12E1" w:rsidRDefault="00000000">
      <w:r>
        <w:t>– Plans et plannings de déploiement, comitologie, reporting, tableaux de bord, ateliers de suivi, coordination des actions, RFP/RFQ, gestion des changements, plans d’action et coordination de chantiers à composante sécurité applicative, certificats et PKI.</w:t>
      </w:r>
    </w:p>
    <w:p w14:paraId="3859DE24" w14:textId="77777777" w:rsidR="00DD12E1" w:rsidRDefault="00DD12E1" w:rsidP="00DD12E1">
      <w:pPr>
        <w:shd w:val="clear" w:color="auto" w:fill="C0272D"/>
        <w:spacing w:before="200" w:after="80"/>
      </w:pPr>
      <w:r w:rsidRPr="00DD12E1">
        <w:rPr>
          <w:b/>
          <w:color w:val="FFFFFF"/>
        </w:rPr>
        <w:lastRenderedPageBreak/>
        <w:t xml:space="preserve">EXPÉRIENCES LES PLUS PERTINENTES POUR LA MISSION </w:t>
      </w:r>
    </w:p>
    <w:p w14:paraId="6AABE5E4" w14:textId="77777777" w:rsidR="009D4DC0" w:rsidRDefault="00000000">
      <w:pPr>
        <w:spacing w:before="140" w:after="40"/>
      </w:pPr>
      <w:r>
        <w:rPr>
          <w:b/>
          <w:color w:val="C0272D"/>
        </w:rPr>
        <w:t>Directeur de projet cybersécurité – Banque de France - ACPR</w:t>
      </w:r>
      <w:r>
        <w:rPr>
          <w:i/>
          <w:color w:val="5A5A5A"/>
          <w:sz w:val="18"/>
        </w:rPr>
        <w:t xml:space="preserve">   02/2022 – 12/2025</w:t>
      </w:r>
      <w:r w:rsidR="00DD12E1">
        <w:rPr>
          <w:i/>
          <w:color w:val="5A5A5A"/>
          <w:sz w:val="18"/>
        </w:rPr>
        <w:t xml:space="preserve"> / 3 ans</w:t>
      </w:r>
    </w:p>
    <w:p w14:paraId="5F9F3B5C" w14:textId="77777777" w:rsidR="009D4DC0" w:rsidRDefault="00000000">
      <w:pPr>
        <w:ind w:left="280" w:hanging="160"/>
      </w:pPr>
      <w:r>
        <w:t>– Pilotage et coordination d’un SOC IT européen entre plusieurs banques centrales, dans un contexte de conformité BCE et ACPR, d’environnement groupe multi-entités et de coordination de chantiers de sécurisation incluant des sujets de certificats et de PKI.</w:t>
      </w:r>
    </w:p>
    <w:p w14:paraId="7AB528F6" w14:textId="77777777" w:rsidR="009D4DC0" w:rsidRDefault="00000000">
      <w:pPr>
        <w:ind w:left="280" w:hanging="160"/>
      </w:pPr>
      <w:r>
        <w:t>– Cadrage, coordination et mise en œuvre de process communs SOC Tier1, Tier2, DFIR et CTI ; exécution du framework MITRE ATT&amp;CK / TIBER EU / NIST.</w:t>
      </w:r>
    </w:p>
    <w:p w14:paraId="12F15ED4" w14:textId="77777777" w:rsidR="009D4DC0" w:rsidRDefault="00000000">
      <w:pPr>
        <w:ind w:left="280" w:hanging="160"/>
      </w:pPr>
      <w:r>
        <w:t>– Suivi des exigences de la Banque Centrale Européenne, gestion des risques, mise en place de scénarios de cybercrise et campagnes de pentesting / phishing / hacking.</w:t>
      </w:r>
    </w:p>
    <w:p w14:paraId="50CFAF6D" w14:textId="77777777" w:rsidR="009D4DC0" w:rsidRDefault="00000000">
      <w:pPr>
        <w:ind w:left="280" w:hanging="160"/>
      </w:pPr>
      <w:r>
        <w:t>– Pilotage des chantiers DORA : comitologie, reporting, suivi, ateliers et coordination des actions avec les parties prenantes.</w:t>
      </w:r>
    </w:p>
    <w:p w14:paraId="4A89BC38" w14:textId="77777777" w:rsidR="009D4DC0" w:rsidRDefault="00000000" w:rsidP="00DD12E1">
      <w:pPr>
        <w:ind w:left="120"/>
      </w:pPr>
      <w:r>
        <w:t>– Interfaçage et mise en compatibilité sécurisée de solutions métiers entre différentes banques centrales européennes, avec traitement approfondi des enjeux d’Application Security : sécurisation des échanges inter-applicatifs, alignement des mécanismes d’authentification et de confiance, prise en compte des certificats et de la PKI, et renforcement de la compatibilité sécurisée entre solutions dans un contexte bancaire paneuropéen.</w:t>
      </w:r>
    </w:p>
    <w:p w14:paraId="21067F18" w14:textId="116B029D" w:rsidR="009D4DC0" w:rsidRDefault="00000000">
      <w:pPr>
        <w:spacing w:before="140" w:after="40"/>
      </w:pPr>
      <w:r>
        <w:rPr>
          <w:b/>
          <w:color w:val="C0272D"/>
        </w:rPr>
        <w:t>Directeur de projet cybersécurité – Worldline / Ingenico</w:t>
      </w:r>
      <w:r>
        <w:rPr>
          <w:i/>
          <w:color w:val="5A5A5A"/>
          <w:sz w:val="18"/>
        </w:rPr>
        <w:t xml:space="preserve">   01/2020 – 11/2020</w:t>
      </w:r>
      <w:r w:rsidR="00DD12E1">
        <w:rPr>
          <w:i/>
          <w:color w:val="5A5A5A"/>
          <w:sz w:val="18"/>
        </w:rPr>
        <w:t xml:space="preserve"> / </w:t>
      </w:r>
      <w:r w:rsidR="003C0BAD">
        <w:rPr>
          <w:i/>
          <w:color w:val="5A5A5A"/>
          <w:sz w:val="18"/>
        </w:rPr>
        <w:t>11 mois</w:t>
      </w:r>
    </w:p>
    <w:p w14:paraId="114691E4" w14:textId="77777777" w:rsidR="009D4DC0" w:rsidRDefault="00000000">
      <w:pPr>
        <w:ind w:left="280" w:hanging="160"/>
      </w:pPr>
      <w:r>
        <w:t>– Pilotage d’un projet mondial de sécurité pour la mise en conformité des activités, avec coordination internationale, suivi des parties prenantes et intégration de chantiers de sécurisation à composante PKI et Application Security.</w:t>
      </w:r>
    </w:p>
    <w:p w14:paraId="5B5786F5" w14:textId="77777777" w:rsidR="009D4DC0" w:rsidRDefault="00000000">
      <w:pPr>
        <w:ind w:left="280" w:hanging="160"/>
      </w:pPr>
      <w:r>
        <w:t>– Déploiement de solutions de sécurité : chiffrement, authentification forte, durcissement et coordination des actions de sécurisation.</w:t>
      </w:r>
    </w:p>
    <w:p w14:paraId="47E14882" w14:textId="77777777" w:rsidR="009D4DC0" w:rsidRDefault="00000000">
      <w:pPr>
        <w:ind w:left="280" w:hanging="160"/>
      </w:pPr>
      <w:r>
        <w:t>– Production de reporting par zoning géographique et revue de la conformité gouvernementale.</w:t>
      </w:r>
    </w:p>
    <w:p w14:paraId="28A78576" w14:textId="77777777" w:rsidR="009D4DC0" w:rsidRDefault="00000000" w:rsidP="00DD12E1">
      <w:pPr>
        <w:ind w:left="142"/>
      </w:pPr>
      <w:r>
        <w:t>– Coordination d’un volet Application Security / PKI pour assurer la cohérence des mécanismes de confiance, de chiffrement et d’authentification, ainsi que la sécurisation des interfaces, API et échanges entre applications dans un contexte international.</w:t>
      </w:r>
    </w:p>
    <w:p w14:paraId="3DB7B85D" w14:textId="66AA219C" w:rsidR="009D4DC0" w:rsidRDefault="00000000">
      <w:pPr>
        <w:spacing w:before="140" w:after="40"/>
      </w:pPr>
      <w:r>
        <w:rPr>
          <w:b/>
          <w:color w:val="C0272D"/>
        </w:rPr>
        <w:t>Chef de projet réseau et sécurité – APHP</w:t>
      </w:r>
      <w:r>
        <w:rPr>
          <w:i/>
          <w:color w:val="5A5A5A"/>
          <w:sz w:val="18"/>
        </w:rPr>
        <w:t xml:space="preserve">   01/2018 – 12/</w:t>
      </w:r>
      <w:proofErr w:type="gramStart"/>
      <w:r>
        <w:rPr>
          <w:i/>
          <w:color w:val="5A5A5A"/>
          <w:sz w:val="18"/>
        </w:rPr>
        <w:t>2018</w:t>
      </w:r>
      <w:r w:rsidR="003C0BAD">
        <w:rPr>
          <w:i/>
          <w:color w:val="5A5A5A"/>
          <w:sz w:val="18"/>
        </w:rPr>
        <w:t xml:space="preserve"> </w:t>
      </w:r>
      <w:r w:rsidR="00DD12E1">
        <w:rPr>
          <w:i/>
          <w:color w:val="5A5A5A"/>
          <w:sz w:val="18"/>
        </w:rPr>
        <w:t> </w:t>
      </w:r>
      <w:r w:rsidR="003C0BAD">
        <w:rPr>
          <w:i/>
          <w:color w:val="5A5A5A"/>
          <w:sz w:val="18"/>
        </w:rPr>
        <w:t>/</w:t>
      </w:r>
      <w:proofErr w:type="gramEnd"/>
      <w:r w:rsidR="00DD12E1">
        <w:rPr>
          <w:i/>
          <w:color w:val="5A5A5A"/>
          <w:sz w:val="18"/>
        </w:rPr>
        <w:t xml:space="preserve"> 1 an</w:t>
      </w:r>
    </w:p>
    <w:p w14:paraId="4C289FFA" w14:textId="77777777" w:rsidR="009D4DC0" w:rsidRDefault="00000000">
      <w:pPr>
        <w:ind w:left="280" w:hanging="160"/>
      </w:pPr>
      <w:r>
        <w:t>– Pilotage de projet autour de la solution IPAM, Firewall Checkpoint et Cisco, avec coordination technique, suivi de mise en œuvre et prise en compte des besoins de sécurisation liés aux certificats et à la PKI.</w:t>
      </w:r>
    </w:p>
    <w:p w14:paraId="4D8E0BA4" w14:textId="77777777" w:rsidR="009D4DC0" w:rsidRDefault="00000000">
      <w:pPr>
        <w:ind w:left="280" w:hanging="160"/>
      </w:pPr>
      <w:r>
        <w:t>– Mise en place de solutions de protection contre la fuite des données (DLP) et EDR dans un cadre de sécurisation des applications et de l’infrastructure.</w:t>
      </w:r>
    </w:p>
    <w:p w14:paraId="5D6179E7" w14:textId="77777777" w:rsidR="009D4DC0" w:rsidRDefault="00000000">
      <w:pPr>
        <w:ind w:left="280" w:hanging="160"/>
      </w:pPr>
      <w:r>
        <w:t>– Suivi opérationnel et maintien en condition opérationnelle de l’infrastructure réseau et sécurité.</w:t>
      </w:r>
    </w:p>
    <w:p w14:paraId="7F8E7F43" w14:textId="77777777" w:rsidR="009D4DC0" w:rsidRDefault="00000000" w:rsidP="00DD12E1">
      <w:pPr>
        <w:ind w:firstLine="120"/>
      </w:pPr>
      <w:r>
        <w:t>–</w:t>
      </w:r>
      <w:r w:rsidR="00DD12E1">
        <w:t xml:space="preserve"> </w:t>
      </w:r>
      <w:r>
        <w:t xml:space="preserve"> Prise en compte des exigences d’Application Security / PKI dans l’intégration et l’exploitation des solutions de sécurité, avec attention portée à la sécurisation des flux applicatifs, des échanges chiffrés, des certificats et des mécanismes de confiance.</w:t>
      </w:r>
    </w:p>
    <w:p w14:paraId="18B52035" w14:textId="2E80A0DA" w:rsidR="009D4DC0" w:rsidRDefault="00000000">
      <w:pPr>
        <w:spacing w:before="140" w:after="40"/>
      </w:pPr>
      <w:r>
        <w:rPr>
          <w:b/>
          <w:color w:val="C0272D"/>
        </w:rPr>
        <w:t>Consultant gouvernance sécurité – STIME / Les Mousquetaires</w:t>
      </w:r>
      <w:r>
        <w:rPr>
          <w:i/>
          <w:color w:val="5A5A5A"/>
          <w:sz w:val="18"/>
        </w:rPr>
        <w:t xml:space="preserve">   02/2017 – 11/2017</w:t>
      </w:r>
      <w:r w:rsidR="00DD12E1">
        <w:rPr>
          <w:i/>
          <w:color w:val="5A5A5A"/>
          <w:sz w:val="18"/>
        </w:rPr>
        <w:t xml:space="preserve"> : </w:t>
      </w:r>
      <w:r w:rsidR="003C0BAD">
        <w:rPr>
          <w:i/>
          <w:color w:val="5A5A5A"/>
          <w:sz w:val="18"/>
        </w:rPr>
        <w:t>9 mois</w:t>
      </w:r>
    </w:p>
    <w:p w14:paraId="77A15643" w14:textId="77777777" w:rsidR="009D4DC0" w:rsidRDefault="00000000">
      <w:pPr>
        <w:ind w:left="280" w:hanging="160"/>
      </w:pPr>
      <w:r>
        <w:t>– Audit sécurité groupe, remédiation avec les parties prenantes et mise en place de process de gouvernance, coordination, comitologie et suivi de sujets de gestion des identités, certificats et PKI.</w:t>
      </w:r>
    </w:p>
    <w:p w14:paraId="03772D59" w14:textId="77777777" w:rsidR="009D4DC0" w:rsidRDefault="00000000" w:rsidP="00DD12E1">
      <w:pPr>
        <w:ind w:firstLine="120"/>
      </w:pPr>
      <w:r>
        <w:t>– Accompagnement des chantiers d’Application Security / PKI via la gouvernance, la remédiation et l’alignement des parties prenantes sur les exigences de confiance, d’authentification et de sécurisation des applications exposées.</w:t>
      </w:r>
    </w:p>
    <w:p w14:paraId="0E135D1E" w14:textId="311D1361" w:rsidR="009D4DC0" w:rsidRDefault="00000000">
      <w:pPr>
        <w:shd w:val="clear" w:color="auto" w:fill="C0272D"/>
        <w:spacing w:before="200" w:after="80"/>
      </w:pPr>
      <w:r>
        <w:rPr>
          <w:b/>
          <w:color w:val="FFFFFF"/>
        </w:rPr>
        <w:t xml:space="preserve">EXPÉRIENCES </w:t>
      </w:r>
      <w:r w:rsidR="003C0BAD">
        <w:rPr>
          <w:b/>
          <w:color w:val="FFFFFF"/>
        </w:rPr>
        <w:t>CHRONOLOGIQUES</w:t>
      </w:r>
    </w:p>
    <w:p w14:paraId="17E7FAB4" w14:textId="77777777" w:rsidR="00303876" w:rsidRDefault="00000000">
      <w:pPr>
        <w:spacing w:after="20"/>
      </w:pPr>
      <w:r w:rsidRPr="003C0BAD">
        <w:rPr>
          <w:b/>
          <w:color w:val="C0272D"/>
        </w:rPr>
        <w:t>Directeur de projet cybersécurité</w:t>
      </w:r>
      <w:r>
        <w:t xml:space="preserve"> </w:t>
      </w:r>
      <w:r w:rsidRPr="003C0BAD">
        <w:rPr>
          <w:b/>
          <w:bCs/>
        </w:rPr>
        <w:t>– Banque de France</w:t>
      </w:r>
      <w:r>
        <w:t xml:space="preserve"> - ACPR | 02/2022 – 12/2025 | 3 ans 11 mois : SOC IT européen, conformité BCE/ACPR, process SOC Tier1/Tier2/DFIR/CTI, TIBER EU, NIST, DORA, comitologie, reporting, ateliers, compatibilité sécurisée inter-banques centrales, enjeux </w:t>
      </w:r>
      <w:proofErr w:type="spellStart"/>
      <w:r>
        <w:t>AppSec</w:t>
      </w:r>
      <w:proofErr w:type="spellEnd"/>
      <w:r>
        <w:t>, certificats et PKI.</w:t>
      </w:r>
    </w:p>
    <w:p w14:paraId="05C29BFA" w14:textId="77777777" w:rsidR="003C0BAD" w:rsidRDefault="003C0BAD">
      <w:pPr>
        <w:spacing w:after="20"/>
      </w:pPr>
    </w:p>
    <w:p w14:paraId="398984B6" w14:textId="77777777" w:rsidR="00303876" w:rsidRDefault="00000000">
      <w:pPr>
        <w:spacing w:after="20"/>
      </w:pPr>
      <w:r w:rsidRPr="003C0BAD">
        <w:rPr>
          <w:b/>
          <w:color w:val="C0272D"/>
        </w:rPr>
        <w:t>Directeur de projet cybersécurité</w:t>
      </w:r>
      <w:r>
        <w:t xml:space="preserve"> </w:t>
      </w:r>
      <w:r w:rsidRPr="003C0BAD">
        <w:rPr>
          <w:b/>
          <w:bCs/>
        </w:rPr>
        <w:t>– Transdev</w:t>
      </w:r>
      <w:r>
        <w:t xml:space="preserve"> | 01/2021 – 12/2021 | 1 an : SOC OT, scoping, patching, hardening, planning de déploiement, gestion des changements / rollback, coordination, RFP en anglais, pilotage de sujets de certificats / PKI et prise en compte des enjeux d’Application Security pour sécuriser les échanges entre composants industriels, applications exposées et services connectés.</w:t>
      </w:r>
    </w:p>
    <w:p w14:paraId="47A274F1" w14:textId="77777777" w:rsidR="003C0BAD" w:rsidRDefault="003C0BAD">
      <w:pPr>
        <w:spacing w:after="20"/>
      </w:pPr>
    </w:p>
    <w:p w14:paraId="6BB5123B" w14:textId="77777777" w:rsidR="00303876" w:rsidRDefault="00000000">
      <w:pPr>
        <w:spacing w:after="20"/>
      </w:pPr>
      <w:r w:rsidRPr="003C0BAD">
        <w:rPr>
          <w:b/>
          <w:color w:val="C0272D"/>
        </w:rPr>
        <w:lastRenderedPageBreak/>
        <w:t>Directeur de projet cybersécurité</w:t>
      </w:r>
      <w:r>
        <w:t xml:space="preserve"> – </w:t>
      </w:r>
      <w:r w:rsidRPr="003C0BAD">
        <w:rPr>
          <w:b/>
          <w:bCs/>
        </w:rPr>
        <w:t>Worldline / Ingenico</w:t>
      </w:r>
      <w:r>
        <w:t xml:space="preserve"> | 01/2020 – 11/2020 | 11 mois : Mise en conformité sécurité, chiffrement, authentification forte, durcissement, reporting international, conformité gouvernementale, sécurité des interfaces, API, mécanismes de confiance, certificats / PKI et échanges entre applications.</w:t>
      </w:r>
    </w:p>
    <w:p w14:paraId="7C44AB8A" w14:textId="77777777" w:rsidR="003C0BAD" w:rsidRDefault="003C0BAD">
      <w:pPr>
        <w:spacing w:after="20"/>
      </w:pPr>
    </w:p>
    <w:p w14:paraId="1C8952A7" w14:textId="77777777" w:rsidR="00303876" w:rsidRDefault="00000000">
      <w:pPr>
        <w:spacing w:after="20"/>
      </w:pPr>
      <w:r w:rsidRPr="003C0BAD">
        <w:rPr>
          <w:b/>
          <w:color w:val="C0272D"/>
        </w:rPr>
        <w:t>Directeur de projet cybersécurité</w:t>
      </w:r>
      <w:r>
        <w:t xml:space="preserve"> – </w:t>
      </w:r>
      <w:r w:rsidRPr="003C0BAD">
        <w:rPr>
          <w:b/>
          <w:bCs/>
        </w:rPr>
        <w:t>Manutan</w:t>
      </w:r>
      <w:r>
        <w:t xml:space="preserve"> | 01/2019 – 12/2019 | 1 an : Mise en place d’un SOC global centralisé, RFP/RFQ, recrutement, sélection d’intégrateurs, contrats, budgets, coordination projet, chantiers de sécurisation à composante PKI et exigences d’Application Security pour protéger services, interfaces et accès applicatifs.</w:t>
      </w:r>
    </w:p>
    <w:p w14:paraId="4C5F2FED" w14:textId="77777777" w:rsidR="003C0BAD" w:rsidRDefault="003C0BAD">
      <w:pPr>
        <w:spacing w:after="20"/>
      </w:pPr>
    </w:p>
    <w:p w14:paraId="5B3495D3" w14:textId="77777777" w:rsidR="00303876" w:rsidRDefault="00000000">
      <w:pPr>
        <w:spacing w:after="20"/>
      </w:pPr>
      <w:r w:rsidRPr="003C0BAD">
        <w:rPr>
          <w:b/>
          <w:color w:val="C0272D"/>
        </w:rPr>
        <w:t>Chef de projet réseau et sécurité</w:t>
      </w:r>
      <w:r>
        <w:t xml:space="preserve"> – </w:t>
      </w:r>
      <w:r w:rsidRPr="003C0BAD">
        <w:rPr>
          <w:b/>
          <w:bCs/>
        </w:rPr>
        <w:t>APHP</w:t>
      </w:r>
      <w:r>
        <w:t xml:space="preserve"> | 01/2018 – 12/2018 | 1 an : IPAM, Firewall Checkpoint et Cisco, DLP, EDR, conformité gouvernementale, MCO réseau et sécurité, sécurisation des flux applicatifs, échanges chiffrés, certificats et mécanismes de confiance.</w:t>
      </w:r>
    </w:p>
    <w:p w14:paraId="7863E8D2" w14:textId="77777777" w:rsidR="003C0BAD" w:rsidRDefault="003C0BAD">
      <w:pPr>
        <w:spacing w:after="20"/>
      </w:pPr>
    </w:p>
    <w:p w14:paraId="0B64B299" w14:textId="77777777" w:rsidR="00303876" w:rsidRDefault="00000000">
      <w:pPr>
        <w:spacing w:after="20"/>
      </w:pPr>
      <w:r w:rsidRPr="003C0BAD">
        <w:rPr>
          <w:b/>
          <w:color w:val="C0272D"/>
        </w:rPr>
        <w:t>Consultant gouvernance sécurité</w:t>
      </w:r>
      <w:r>
        <w:t xml:space="preserve"> – </w:t>
      </w:r>
      <w:r w:rsidRPr="003C0BAD">
        <w:rPr>
          <w:b/>
          <w:bCs/>
        </w:rPr>
        <w:t>STIME</w:t>
      </w:r>
      <w:r>
        <w:t xml:space="preserve"> / Les Mousquetaires | 02/2017 – 11/2017 | 10 mois : Audit sécurité groupe, remédiation, gouvernance, comitologie, coordination des parties prenantes, gestion des identités, certificats / PKI et accompagnement des sujets de sécurisation des applications exposées.</w:t>
      </w:r>
    </w:p>
    <w:p w14:paraId="72ED893F" w14:textId="77777777" w:rsidR="003C0BAD" w:rsidRDefault="003C0BAD">
      <w:pPr>
        <w:spacing w:after="20"/>
      </w:pPr>
    </w:p>
    <w:p w14:paraId="31243D1F" w14:textId="77777777" w:rsidR="00303876" w:rsidRDefault="00000000">
      <w:pPr>
        <w:spacing w:after="20"/>
      </w:pPr>
      <w:r w:rsidRPr="003C0BAD">
        <w:rPr>
          <w:b/>
          <w:color w:val="C0272D"/>
        </w:rPr>
        <w:t>Chef de projet réseau</w:t>
      </w:r>
      <w:r>
        <w:t xml:space="preserve"> – </w:t>
      </w:r>
      <w:r w:rsidRPr="003C0BAD">
        <w:rPr>
          <w:b/>
          <w:bCs/>
        </w:rPr>
        <w:t xml:space="preserve">Eramet </w:t>
      </w:r>
      <w:r>
        <w:t>| 01/2016 – 12/2016 | 1 an : Définition du scope et planning mondial, POC, architecture, déploiement Zscaler par continent, coordination internationale, prise en compte des certificats / PKI et de la sécurisation des échanges applicatifs.</w:t>
      </w:r>
    </w:p>
    <w:p w14:paraId="5649A82D" w14:textId="77777777" w:rsidR="00303876" w:rsidRDefault="00000000">
      <w:pPr>
        <w:spacing w:after="20"/>
      </w:pPr>
      <w:r w:rsidRPr="003C0BAD">
        <w:rPr>
          <w:b/>
          <w:color w:val="C0272D"/>
        </w:rPr>
        <w:t>Chef de projet réseau et sécurité</w:t>
      </w:r>
      <w:r>
        <w:t xml:space="preserve"> </w:t>
      </w:r>
      <w:r w:rsidRPr="003C0BAD">
        <w:rPr>
          <w:b/>
          <w:bCs/>
        </w:rPr>
        <w:t>– HSBC</w:t>
      </w:r>
      <w:r>
        <w:t xml:space="preserve"> | 03/2014 – 10/2015 | 1 an 8 mois : Sécurité siège et filiales, déménagements de datacenters, cluster de firewalls, proxys, support niveau 3, process ITIL, sécurisation des accès, flux et interconnexions applicatives.</w:t>
      </w:r>
    </w:p>
    <w:p w14:paraId="1422360A" w14:textId="77777777" w:rsidR="003C0BAD" w:rsidRDefault="003C0BAD">
      <w:pPr>
        <w:spacing w:after="20"/>
      </w:pPr>
    </w:p>
    <w:p w14:paraId="62C59EFC" w14:textId="77777777" w:rsidR="00303876" w:rsidRDefault="00000000">
      <w:pPr>
        <w:spacing w:after="20"/>
      </w:pPr>
      <w:r w:rsidRPr="003C0BAD">
        <w:rPr>
          <w:b/>
          <w:color w:val="C0272D"/>
        </w:rPr>
        <w:t>Consultant sécurité</w:t>
      </w:r>
      <w:r>
        <w:t xml:space="preserve"> – </w:t>
      </w:r>
      <w:r w:rsidRPr="003C0BAD">
        <w:rPr>
          <w:b/>
          <w:bCs/>
        </w:rPr>
        <w:t>Expedia Group Corp</w:t>
      </w:r>
      <w:r>
        <w:t>. | 03/2012 – 11/2013 | 1 an 9 mois : Certification PCI DSS, gestion d’équipes réseau et sécurité, architecture des flux, redondance datacenters, coordination sécurité, sécurisation des services applicatifs exposés et besoins liés aux certificats / PKI.</w:t>
      </w:r>
    </w:p>
    <w:p w14:paraId="67FB7485" w14:textId="77777777" w:rsidR="003C0BAD" w:rsidRDefault="003C0BAD">
      <w:pPr>
        <w:spacing w:after="20"/>
      </w:pPr>
    </w:p>
    <w:p w14:paraId="5271252E" w14:textId="77777777" w:rsidR="00303876" w:rsidRDefault="00000000">
      <w:pPr>
        <w:spacing w:after="20"/>
      </w:pPr>
      <w:r w:rsidRPr="003C0BAD">
        <w:rPr>
          <w:b/>
          <w:color w:val="C0272D"/>
        </w:rPr>
        <w:t>Chef de projet sécurité / Assistant RSSI</w:t>
      </w:r>
      <w:r>
        <w:t xml:space="preserve"> – </w:t>
      </w:r>
      <w:r w:rsidRPr="003C0BAD">
        <w:rPr>
          <w:b/>
          <w:bCs/>
        </w:rPr>
        <w:t>Banque Alahli</w:t>
      </w:r>
      <w:r>
        <w:t xml:space="preserve"> | 01/2011 – 12/2011 | 1 an : Certification PCI DSS, déploiement EDR, MFA, IAM/PAM, durcissement de l’infrastructure, authentification forte, certificats / PKI, contrôles d’accès, échanges sécurisés et protection des services bancaires.</w:t>
      </w:r>
    </w:p>
    <w:p w14:paraId="2B69AD6D" w14:textId="77777777" w:rsidR="003C0BAD" w:rsidRDefault="003C0BAD">
      <w:pPr>
        <w:spacing w:after="20"/>
      </w:pPr>
    </w:p>
    <w:p w14:paraId="59AC244F" w14:textId="77777777" w:rsidR="00303876" w:rsidRDefault="00000000">
      <w:pPr>
        <w:spacing w:after="20"/>
      </w:pPr>
      <w:r w:rsidRPr="003C0BAD">
        <w:rPr>
          <w:b/>
          <w:color w:val="C0272D"/>
        </w:rPr>
        <w:t>Chef de projet réseau et sécurité</w:t>
      </w:r>
      <w:r>
        <w:t xml:space="preserve"> – </w:t>
      </w:r>
      <w:r w:rsidRPr="003C0BAD">
        <w:rPr>
          <w:b/>
          <w:bCs/>
        </w:rPr>
        <w:t>Saudi Telecom Company</w:t>
      </w:r>
      <w:r>
        <w:t xml:space="preserve"> | 01/2010 – 12/2010 | 1 an : Déploiement CCTV au niveau national, étude des solutions de sécurité, gestion des appels d’offres, conseil sur la sécurisation des liaisons et des échanges.</w:t>
      </w:r>
    </w:p>
    <w:p w14:paraId="7410A8A3" w14:textId="77777777" w:rsidR="003C0BAD" w:rsidRDefault="003C0BAD">
      <w:pPr>
        <w:spacing w:after="20"/>
      </w:pPr>
    </w:p>
    <w:p w14:paraId="3BF9D94B" w14:textId="77777777" w:rsidR="00303876" w:rsidRDefault="00000000">
      <w:pPr>
        <w:spacing w:after="20"/>
      </w:pPr>
      <w:r w:rsidRPr="003C0BAD">
        <w:rPr>
          <w:b/>
          <w:color w:val="C0272D"/>
        </w:rPr>
        <w:t>Chef de projet réseau et sécurité</w:t>
      </w:r>
      <w:r>
        <w:t xml:space="preserve"> – </w:t>
      </w:r>
      <w:r w:rsidRPr="003C0BAD">
        <w:rPr>
          <w:b/>
          <w:bCs/>
        </w:rPr>
        <w:t>Accenture | 01/2009</w:t>
      </w:r>
      <w:r>
        <w:t xml:space="preserve"> – 12/2009 | 1 an : Déploiement réseau et sécurité au niveau national, gestion de projet LAN/WAN, déploiement VPN à l’international et wifi sur différents bureaux.</w:t>
      </w:r>
    </w:p>
    <w:p w14:paraId="49C329D8" w14:textId="77777777" w:rsidR="003C0BAD" w:rsidRDefault="003C0BAD">
      <w:pPr>
        <w:spacing w:after="20"/>
      </w:pPr>
    </w:p>
    <w:p w14:paraId="7B11EFFA" w14:textId="77777777" w:rsidR="00303876" w:rsidRDefault="00000000">
      <w:pPr>
        <w:spacing w:after="20"/>
      </w:pPr>
      <w:r w:rsidRPr="003C0BAD">
        <w:rPr>
          <w:b/>
          <w:color w:val="C0272D"/>
        </w:rPr>
        <w:t>Chef de projet réseau et sécurité</w:t>
      </w:r>
      <w:r>
        <w:t xml:space="preserve"> – </w:t>
      </w:r>
      <w:r w:rsidRPr="003C0BAD">
        <w:rPr>
          <w:b/>
          <w:bCs/>
        </w:rPr>
        <w:t>Natexis Bleichroeder</w:t>
      </w:r>
      <w:r>
        <w:t xml:space="preserve"> | 01/2007 – 10/2008 | 1 an 10 mois : Gestion des obsolescences / carve-in carve-out, cluster de firewalls, architecture haute disponibilité pour flux financiers, préparation d’infrastructure en vue de fusion.</w:t>
      </w:r>
    </w:p>
    <w:p w14:paraId="47421247" w14:textId="77777777" w:rsidR="003C0BAD" w:rsidRDefault="003C0BAD">
      <w:pPr>
        <w:spacing w:after="20"/>
      </w:pPr>
    </w:p>
    <w:p w14:paraId="7A3052F0" w14:textId="77777777" w:rsidR="00303876" w:rsidRDefault="00000000">
      <w:pPr>
        <w:spacing w:after="20"/>
      </w:pPr>
      <w:r w:rsidRPr="003C0BAD">
        <w:rPr>
          <w:b/>
          <w:color w:val="C0272D"/>
        </w:rPr>
        <w:t>Consultant sécurité</w:t>
      </w:r>
      <w:r>
        <w:t xml:space="preserve"> </w:t>
      </w:r>
      <w:r w:rsidRPr="003C0BAD">
        <w:rPr>
          <w:b/>
          <w:bCs/>
        </w:rPr>
        <w:t>– Bouygues Construction</w:t>
      </w:r>
      <w:r>
        <w:t xml:space="preserve"> | 02/2005 – 10/2006 | 1 an 9 mois : Audit des flux, optimisation des règles de sécurité sur cluster, cleansing de firewalls, déploiement mondial de firewalls dans 75 pays, VPN site à site.</w:t>
      </w:r>
    </w:p>
    <w:p w14:paraId="5F57599A" w14:textId="77777777" w:rsidR="009D4DC0" w:rsidRDefault="00000000">
      <w:pPr>
        <w:shd w:val="clear" w:color="auto" w:fill="C0272D"/>
        <w:spacing w:before="200" w:after="80"/>
      </w:pPr>
      <w:r>
        <w:rPr>
          <w:b/>
          <w:color w:val="FFFFFF"/>
        </w:rPr>
        <w:t>LANGUES / CERTIFICATIONS / FORMATION</w:t>
      </w:r>
    </w:p>
    <w:p w14:paraId="35155AEA" w14:textId="77777777" w:rsidR="009D4DC0" w:rsidRDefault="00000000">
      <w:pPr>
        <w:ind w:left="280" w:hanging="160"/>
      </w:pPr>
      <w:r>
        <w:t xml:space="preserve">– </w:t>
      </w:r>
      <w:r>
        <w:rPr>
          <w:b/>
        </w:rPr>
        <w:t xml:space="preserve">Langues : </w:t>
      </w:r>
      <w:r>
        <w:t>français langue maternelle ; anglais courant ; japonais notions.</w:t>
      </w:r>
    </w:p>
    <w:p w14:paraId="0F4D810D" w14:textId="77777777" w:rsidR="009D4DC0" w:rsidRDefault="00000000">
      <w:pPr>
        <w:ind w:left="280" w:hanging="160"/>
      </w:pPr>
      <w:r>
        <w:t xml:space="preserve">– </w:t>
      </w:r>
      <w:r>
        <w:rPr>
          <w:b/>
        </w:rPr>
        <w:t xml:space="preserve">Certifications : </w:t>
      </w:r>
      <w:r>
        <w:t>CCNA, CCNP, CEH v7, ITIL, PRINCE2, CISSP.</w:t>
      </w:r>
    </w:p>
    <w:p w14:paraId="2B5C927C" w14:textId="77777777" w:rsidR="009D4DC0" w:rsidRDefault="00000000">
      <w:pPr>
        <w:ind w:left="280" w:hanging="160"/>
      </w:pPr>
      <w:r>
        <w:t xml:space="preserve">– </w:t>
      </w:r>
      <w:r>
        <w:rPr>
          <w:b/>
        </w:rPr>
        <w:t xml:space="preserve">Formation : </w:t>
      </w:r>
      <w:r>
        <w:t>Maîtrise EPITA (1987).</w:t>
      </w:r>
    </w:p>
    <w:sectPr w:rsidR="009D4DC0" w:rsidSect="002614FB">
      <w:headerReference w:type="default" r:id="rId7"/>
      <w:footerReference w:type="default" r:id="rId8"/>
      <w:pgSz w:w="11906" w:h="16838"/>
      <w:pgMar w:top="2551" w:right="907" w:bottom="737" w:left="907" w:header="71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CF142" w14:textId="77777777" w:rsidR="00953764" w:rsidRDefault="00953764">
      <w:r>
        <w:separator/>
      </w:r>
    </w:p>
  </w:endnote>
  <w:endnote w:type="continuationSeparator" w:id="0">
    <w:p w14:paraId="3CA4C31A" w14:textId="77777777" w:rsidR="00953764" w:rsidRDefault="00953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CE3D" w14:textId="77777777" w:rsidR="00BB731C" w:rsidRDefault="00000000">
    <w:pPr>
      <w:pBdr>
        <w:top w:val="single" w:sz="4" w:space="4" w:color="C0272D"/>
      </w:pBdr>
      <w:spacing w:before="80"/>
      <w:jc w:val="center"/>
    </w:pPr>
    <w:r>
      <w:rPr>
        <w:color w:val="555555"/>
        <w:sz w:val="14"/>
        <w:szCs w:val="14"/>
      </w:rPr>
      <w:t xml:space="preserve">FASTOR GIE – </w:t>
    </w:r>
    <w:proofErr w:type="spellStart"/>
    <w:r>
      <w:rPr>
        <w:color w:val="555555"/>
        <w:sz w:val="14"/>
        <w:szCs w:val="14"/>
      </w:rPr>
      <w:t>Chamfleury</w:t>
    </w:r>
    <w:proofErr w:type="spellEnd"/>
    <w:r>
      <w:rPr>
        <w:color w:val="555555"/>
        <w:sz w:val="14"/>
        <w:szCs w:val="14"/>
      </w:rPr>
      <w:t xml:space="preserve"> – 9 rue Georges Cloarec 27320 LA MADELEINE DE </w:t>
    </w:r>
    <w:proofErr w:type="gramStart"/>
    <w:r>
      <w:rPr>
        <w:color w:val="555555"/>
        <w:sz w:val="14"/>
        <w:szCs w:val="14"/>
      </w:rPr>
      <w:t>NONANCOURT  |</w:t>
    </w:r>
    <w:proofErr w:type="gramEnd"/>
    <w:r>
      <w:rPr>
        <w:color w:val="555555"/>
        <w:sz w:val="14"/>
        <w:szCs w:val="14"/>
      </w:rPr>
      <w:t xml:space="preserve">  Tel. 02 32 37 71 </w:t>
    </w:r>
    <w:proofErr w:type="gramStart"/>
    <w:r>
      <w:rPr>
        <w:color w:val="555555"/>
        <w:sz w:val="14"/>
        <w:szCs w:val="14"/>
      </w:rPr>
      <w:t>50  |</w:t>
    </w:r>
    <w:proofErr w:type="gramEnd"/>
    <w:r>
      <w:rPr>
        <w:color w:val="555555"/>
        <w:sz w:val="14"/>
        <w:szCs w:val="14"/>
      </w:rPr>
      <w:t xml:space="preserve">  service.client@fastor.com  |  www.fastor.com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2E00E" w14:textId="77777777" w:rsidR="00953764" w:rsidRDefault="00953764">
      <w:r>
        <w:separator/>
      </w:r>
    </w:p>
  </w:footnote>
  <w:footnote w:type="continuationSeparator" w:id="0">
    <w:p w14:paraId="0873EBFD" w14:textId="77777777" w:rsidR="00953764" w:rsidRDefault="00953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7129" w14:textId="77777777" w:rsidR="002614FB" w:rsidRDefault="002614FB">
    <w:pPr>
      <w:pStyle w:val="En-tte"/>
    </w:pPr>
    <w:r>
      <w:rPr>
        <w:noProof/>
      </w:rPr>
      <mc:AlternateContent>
        <mc:Choice Requires="wps">
          <w:drawing>
            <wp:anchor distT="45720" distB="45720" distL="114300" distR="114300" simplePos="0" relativeHeight="251663360" behindDoc="0" locked="0" layoutInCell="1" allowOverlap="1" wp14:anchorId="35D4FF99" wp14:editId="475E4EB3">
              <wp:simplePos x="0" y="0"/>
              <wp:positionH relativeFrom="column">
                <wp:posOffset>6109335</wp:posOffset>
              </wp:positionH>
              <wp:positionV relativeFrom="paragraph">
                <wp:posOffset>774700</wp:posOffset>
              </wp:positionV>
              <wp:extent cx="622300" cy="273050"/>
              <wp:effectExtent l="0" t="0" r="25400" b="1270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73050"/>
                      </a:xfrm>
                      <a:prstGeom prst="rect">
                        <a:avLst/>
                      </a:prstGeom>
                      <a:solidFill>
                        <a:srgbClr val="FFFFFF"/>
                      </a:solidFill>
                      <a:ln w="9525">
                        <a:solidFill>
                          <a:schemeClr val="bg1"/>
                        </a:solidFill>
                        <a:miter lim="800000"/>
                        <a:headEnd/>
                        <a:tailEnd/>
                      </a:ln>
                    </wps:spPr>
                    <wps:txbx>
                      <w:txbxContent>
                        <w:p w14:paraId="6387179B" w14:textId="77777777" w:rsidR="002614FB" w:rsidRPr="002614FB" w:rsidRDefault="002614FB">
                          <w:pPr>
                            <w:rPr>
                              <w:b/>
                              <w:bCs/>
                              <w:color w:val="C00000"/>
                              <w:sz w:val="24"/>
                              <w:szCs w:val="24"/>
                            </w:rPr>
                          </w:pPr>
                          <w:r w:rsidRPr="002614FB">
                            <w:rPr>
                              <w:b/>
                              <w:bCs/>
                              <w:color w:val="C00000"/>
                              <w:sz w:val="24"/>
                              <w:szCs w:val="24"/>
                            </w:rPr>
                            <w:t>WSA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FE8CB" id="_x0000_t202" coordsize="21600,21600" o:spt="202" path="m,l,21600r21600,l21600,xe">
              <v:stroke joinstyle="miter"/>
              <v:path gradientshapeok="t" o:connecttype="rect"/>
            </v:shapetype>
            <v:shape id="Zone de texte 2" o:spid="_x0000_s1026" type="#_x0000_t202" style="position:absolute;margin-left:481.05pt;margin-top:61pt;width:49pt;height:2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ndFQIAAB0EAAAOAAAAZHJzL2Uyb0RvYy54bWysU9uO2yAQfa/Uf0C8N3a8yV6sOKtttqkq&#10;bS/Sth+AMbZRgaFAYqdfvwPOZtPtW1UeEMMMh5kzZ1a3o1ZkL5yXYCo6n+WUCMOhkaar6I/v23fX&#10;lPjATMMUGFHRg/D0dv32zWqwpSigB9UIRxDE+HKwFe1DsGWWed4LzfwMrDDobMFpFtB0XdY4NiC6&#10;VlmR55fZAK6xDrjwHm/vJyddJ/y2FTx8bVsvAlEVxdxC2l3a67hn6xUrO8dsL/kxDfYPWWgmDX56&#10;grpngZGdk39BackdeGjDjIPOoG0lF6kGrGaev6rmsWdWpFqQHG9PNPn/B8u/7B/tN0fC+B5GbGAq&#10;wtsH4D89MbDpmenEnXMw9II1+PE8UpYN1pfHp5FqX/oIUg+focEms12ABDS2TkdWsE6C6NiAw4l0&#10;MQbC8fKyKC5y9HB0FVcX+TI1JWPl82PrfPgoQJN4qKjDniZwtn/wISbDyueQ+JcHJZutVCoZrqs3&#10;ypE9w/5v00r5vwpThgwVvVkWy6n+PyCiFMUJpO4mBl4haBlQx0rqil7ncU3KiqR9ME1SWWBSTWfM&#10;WJkji5G4icIw1iMGRjZraA7Ip4NJrzhfeOjB/aZkQK1W1P/aMScoUZ8M9uRmvlhEcSdjsbwq0HDn&#10;nvrcwwxHqIoGSqbjJqSBiHwZuMPetTLx+pLJMVfUYKL7OC9R5Od2inqZ6vUTAAAA//8DAFBLAwQU&#10;AAYACAAAACEAe01hpd8AAAAMAQAADwAAAGRycy9kb3ducmV2LnhtbEyPQU/DMAyF70j8h8hI3Fiy&#10;CiJWmk4IxG4IUdDgmDamrWicqsm2wq/HO42b7ff0/L1iPftB7HGKfSADy4UCgdQE11Nr4P3t6eoW&#10;REyWnB0CoYEfjLAuz88Km7twoFfcV6kVHEIxtwa6lMZcyth06G1chBGJta8weZt4nVrpJnvgcD/I&#10;TCktve2JP3R2xIcOm+9q5w3ERunty3W1/ajlBn9Xzj1+bp6NubyY7+9AJJzTyQxHfEaHkpnqsCMX&#10;xWBgpbMlW1nIMi51dCit+FTzpG8UyLKQ/0uUfwAAAP//AwBQSwECLQAUAAYACAAAACEAtoM4kv4A&#10;AADhAQAAEwAAAAAAAAAAAAAAAAAAAAAAW0NvbnRlbnRfVHlwZXNdLnhtbFBLAQItABQABgAIAAAA&#10;IQA4/SH/1gAAAJQBAAALAAAAAAAAAAAAAAAAAC8BAABfcmVscy8ucmVsc1BLAQItABQABgAIAAAA&#10;IQDukXndFQIAAB0EAAAOAAAAAAAAAAAAAAAAAC4CAABkcnMvZTJvRG9jLnhtbFBLAQItABQABgAI&#10;AAAAIQB7TWGl3wAAAAwBAAAPAAAAAAAAAAAAAAAAAG8EAABkcnMvZG93bnJldi54bWxQSwUGAAAA&#10;AAQABADzAAAAewUAAAAA&#10;" strokecolor="white [3212]">
              <v:textbox>
                <w:txbxContent>
                  <w:p w14:paraId="170EF333" w14:textId="77777777" w:rsidR="002614FB" w:rsidRPr="002614FB" w:rsidRDefault="002614FB">
                    <w:pPr>
                      <w:rPr>
                        <w:b/>
                        <w:bCs/>
                        <w:color w:val="C00000"/>
                        <w:sz w:val="24"/>
                        <w:szCs w:val="24"/>
                      </w:rPr>
                    </w:pPr>
                    <w:r w:rsidRPr="002614FB">
                      <w:rPr>
                        <w:b/>
                        <w:bCs/>
                        <w:color w:val="C00000"/>
                        <w:sz w:val="24"/>
                        <w:szCs w:val="24"/>
                      </w:rPr>
                      <w:t>WSA</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07FDF2C3" wp14:editId="3456CC20">
              <wp:simplePos x="0" y="0"/>
              <wp:positionH relativeFrom="margin">
                <wp:posOffset>4476750</wp:posOffset>
              </wp:positionH>
              <wp:positionV relativeFrom="paragraph">
                <wp:posOffset>-228600</wp:posOffset>
              </wp:positionV>
              <wp:extent cx="2235200" cy="11049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1104900"/>
                      </a:xfrm>
                      <a:prstGeom prst="rect">
                        <a:avLst/>
                      </a:prstGeom>
                      <a:solidFill>
                        <a:srgbClr val="FFFFFF"/>
                      </a:solidFill>
                      <a:ln w="9525">
                        <a:noFill/>
                        <a:miter lim="800000"/>
                        <a:headEnd/>
                        <a:tailEnd/>
                      </a:ln>
                    </wps:spPr>
                    <wps:txbx>
                      <w:txbxContent>
                        <w:p w14:paraId="5E98FACD" w14:textId="77777777" w:rsidR="002614FB" w:rsidRDefault="002614FB">
                          <w:r>
                            <w:rPr>
                              <w:noProof/>
                            </w:rPr>
                            <w:drawing>
                              <wp:inline distT="0" distB="0" distL="0" distR="0" wp14:anchorId="7A0C5FAF" wp14:editId="47BFB12A">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9C896" id="_x0000_s1027" type="#_x0000_t202" style="position:absolute;margin-left:352.5pt;margin-top:-18pt;width:176pt;height: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58DgIAAP4DAAAOAAAAZHJzL2Uyb0RvYy54bWysU9uO2yAQfa/Uf0C8N740aTdWnNU221SV&#10;thdp2w/AgGNUzFAgsbdfvwP2ZtP2rSoPiGGGMzNnDpvrsdfkJJ1XYGpaLHJKpOEglDnU9Pu3/asr&#10;SnxgRjANRtb0QXp6vX35YjPYSpbQgRbSEQQxvhpsTbsQbJVlnneyZ34BVhp0tuB6FtB0h0w4NiB6&#10;r7Myz99kAzhhHXDpPd7eTk66TfhtK3n40rZeBqJrirWFtLu0N3HPthtWHRyzneJzGewfquiZMpj0&#10;DHXLAiNHp/6C6hV34KENCw59Bm2ruEw9YDdF/kc39x2zMvWC5Hh7psn/P1j++XRvvzoSxncw4gBT&#10;E97eAf/hiYFdx8xB3jgHQyeZwMRFpCwbrK/mp5FqX/kI0gyfQOCQ2TFAAhpb10dWsE+C6DiAhzPp&#10;cgyE42VZvl7hJCnh6CuKfLlGI+Zg1dNz63z4IKEn8VBTh1NN8Ox058MU+hQSs3nQSuyV1slwh2an&#10;HTkxVMA+rRn9tzBtyFDT9apcJWQD8X0SR68CKlSrvqZXeVyTZiId741IIYEpPZ2xaG1mfiIlEzlh&#10;bEaixExepKsB8YCEOZgEiR8IDx24X5QMKMaa+p9H5iQl+qNB0tfFchnVm4zl6m2Jhrv0NJceZjhC&#10;1TRQMh13ISk+0mHgBofTqkTbcyVzySiyRPz8IaKKL+0U9fxtt48AAAD//wMAUEsDBBQABgAIAAAA&#10;IQAHqVjX3wAAAAwBAAAPAAAAZHJzL2Rvd25yZXYueG1sTI/BTsMwEETvSPyDtUhcUGtDSVJCnAqQ&#10;QFxb+gGb2E0i4nUUu03692xP9PZGO5qdKTaz68XJjqHzpOFxqUBYqr3pqNGw//lcrEGEiGSw92Q1&#10;nG2ATXl7U2Bu/ERbe9rFRnAIhRw1tDEOuZShbq3DsPSDJb4d/OgwshwbaUacONz18kmpVDrsiD+0&#10;ONiP1ta/u6PTcPieHpKXqfqK+2z7nL5jl1X+rPX93fz2CiLaOf6b4VKfq0PJnSp/JBNEryFTCW+J&#10;GharlOHiUEnGVDGt1gpkWcjrEeUfAAAA//8DAFBLAQItABQABgAIAAAAIQC2gziS/gAAAOEBAAAT&#10;AAAAAAAAAAAAAAAAAAAAAABbQ29udGVudF9UeXBlc10ueG1sUEsBAi0AFAAGAAgAAAAhADj9If/W&#10;AAAAlAEAAAsAAAAAAAAAAAAAAAAALwEAAF9yZWxzLy5yZWxzUEsBAi0AFAAGAAgAAAAhANajHnwO&#10;AgAA/gMAAA4AAAAAAAAAAAAAAAAALgIAAGRycy9lMm9Eb2MueG1sUEsBAi0AFAAGAAgAAAAhAAep&#10;WNffAAAADAEAAA8AAAAAAAAAAAAAAAAAaAQAAGRycy9kb3ducmV2LnhtbFBLBQYAAAAABAAEAPMA&#10;AAB0BQAAAAA=&#10;" stroked="f">
              <v:textbox>
                <w:txbxContent>
                  <w:p w14:paraId="67823C96" w14:textId="77777777" w:rsidR="002614FB" w:rsidRDefault="002614FB">
                    <w:r>
                      <w:rPr>
                        <w:noProof/>
                      </w:rPr>
                      <w:drawing>
                        <wp:inline distT="0" distB="0" distL="0" distR="0" wp14:anchorId="31B96D16" wp14:editId="319AC20E">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v:textbox>
              <w10:wrap type="square" anchorx="margin"/>
            </v:shape>
          </w:pict>
        </mc:Fallback>
      </mc:AlternateContent>
    </w:r>
    <w:r w:rsidRPr="008F6177">
      <w:rPr>
        <w:noProof/>
      </w:rPr>
      <w:drawing>
        <wp:anchor distT="0" distB="0" distL="114300" distR="114300" simplePos="0" relativeHeight="251659264" behindDoc="1" locked="0" layoutInCell="1" allowOverlap="1" wp14:anchorId="00E1C4B1" wp14:editId="70435E57">
          <wp:simplePos x="0" y="0"/>
          <wp:positionH relativeFrom="margin">
            <wp:posOffset>-279400</wp:posOffset>
          </wp:positionH>
          <wp:positionV relativeFrom="paragraph">
            <wp:posOffset>-184785</wp:posOffset>
          </wp:positionV>
          <wp:extent cx="2448560" cy="923925"/>
          <wp:effectExtent l="0" t="0" r="8890" b="9525"/>
          <wp:wrapTight wrapText="bothSides">
            <wp:wrapPolygon edited="0">
              <wp:start x="0" y="0"/>
              <wp:lineTo x="0" y="21377"/>
              <wp:lineTo x="21510" y="21377"/>
              <wp:lineTo x="21510" y="0"/>
              <wp:lineTo x="0" y="0"/>
            </wp:wrapPolygon>
          </wp:wrapTight>
          <wp:docPr id="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3">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54A8E"/>
    <w:multiLevelType w:val="hybridMultilevel"/>
    <w:tmpl w:val="B78617CE"/>
    <w:lvl w:ilvl="0" w:tplc="8CBC80C4">
      <w:start w:val="1"/>
      <w:numFmt w:val="bullet"/>
      <w:lvlText w:val="●"/>
      <w:lvlJc w:val="left"/>
      <w:pPr>
        <w:ind w:left="720" w:hanging="360"/>
      </w:pPr>
    </w:lvl>
    <w:lvl w:ilvl="1" w:tplc="7CF4121C">
      <w:start w:val="1"/>
      <w:numFmt w:val="bullet"/>
      <w:lvlText w:val="○"/>
      <w:lvlJc w:val="left"/>
      <w:pPr>
        <w:ind w:left="1440" w:hanging="360"/>
      </w:pPr>
    </w:lvl>
    <w:lvl w:ilvl="2" w:tplc="11881032">
      <w:start w:val="1"/>
      <w:numFmt w:val="bullet"/>
      <w:lvlText w:val="■"/>
      <w:lvlJc w:val="left"/>
      <w:pPr>
        <w:ind w:left="2160" w:hanging="360"/>
      </w:pPr>
    </w:lvl>
    <w:lvl w:ilvl="3" w:tplc="CD5E0A5A">
      <w:start w:val="1"/>
      <w:numFmt w:val="bullet"/>
      <w:lvlText w:val="●"/>
      <w:lvlJc w:val="left"/>
      <w:pPr>
        <w:ind w:left="2880" w:hanging="360"/>
      </w:pPr>
    </w:lvl>
    <w:lvl w:ilvl="4" w:tplc="750816D2">
      <w:start w:val="1"/>
      <w:numFmt w:val="bullet"/>
      <w:lvlText w:val="○"/>
      <w:lvlJc w:val="left"/>
      <w:pPr>
        <w:ind w:left="3600" w:hanging="360"/>
      </w:pPr>
    </w:lvl>
    <w:lvl w:ilvl="5" w:tplc="CAEC6848">
      <w:start w:val="1"/>
      <w:numFmt w:val="bullet"/>
      <w:lvlText w:val="■"/>
      <w:lvlJc w:val="left"/>
      <w:pPr>
        <w:ind w:left="4320" w:hanging="360"/>
      </w:pPr>
    </w:lvl>
    <w:lvl w:ilvl="6" w:tplc="095C77C4">
      <w:start w:val="1"/>
      <w:numFmt w:val="bullet"/>
      <w:lvlText w:val="●"/>
      <w:lvlJc w:val="left"/>
      <w:pPr>
        <w:ind w:left="5040" w:hanging="360"/>
      </w:pPr>
    </w:lvl>
    <w:lvl w:ilvl="7" w:tplc="F5FA147E">
      <w:start w:val="1"/>
      <w:numFmt w:val="bullet"/>
      <w:lvlText w:val="●"/>
      <w:lvlJc w:val="left"/>
      <w:pPr>
        <w:ind w:left="5760" w:hanging="360"/>
      </w:pPr>
    </w:lvl>
    <w:lvl w:ilvl="8" w:tplc="ACE2F5BC">
      <w:start w:val="1"/>
      <w:numFmt w:val="bullet"/>
      <w:lvlText w:val="●"/>
      <w:lvlJc w:val="left"/>
      <w:pPr>
        <w:ind w:left="6480" w:hanging="360"/>
      </w:pPr>
    </w:lvl>
  </w:abstractNum>
  <w:abstractNum w:abstractNumId="1" w15:restartNumberingAfterBreak="0">
    <w:nsid w:val="78814859"/>
    <w:multiLevelType w:val="hybridMultilevel"/>
    <w:tmpl w:val="6DF4AB9A"/>
    <w:lvl w:ilvl="0" w:tplc="CA26A146">
      <w:start w:val="1"/>
      <w:numFmt w:val="bullet"/>
      <w:lvlText w:val="–"/>
      <w:lvlJc w:val="left"/>
      <w:pPr>
        <w:ind w:left="480" w:hanging="240"/>
      </w:pPr>
      <w:rPr>
        <w:rFonts w:ascii="Arial" w:eastAsia="Arial" w:hAnsi="Arial" w:cs="Arial"/>
        <w:color w:val="555555"/>
        <w:sz w:val="18"/>
        <w:szCs w:val="18"/>
      </w:rPr>
    </w:lvl>
    <w:lvl w:ilvl="1" w:tplc="A3BAA05A">
      <w:numFmt w:val="decimal"/>
      <w:lvlText w:val=""/>
      <w:lvlJc w:val="left"/>
    </w:lvl>
    <w:lvl w:ilvl="2" w:tplc="1A1AB3BE">
      <w:numFmt w:val="decimal"/>
      <w:lvlText w:val=""/>
      <w:lvlJc w:val="left"/>
    </w:lvl>
    <w:lvl w:ilvl="3" w:tplc="1D42B84E">
      <w:numFmt w:val="decimal"/>
      <w:lvlText w:val=""/>
      <w:lvlJc w:val="left"/>
    </w:lvl>
    <w:lvl w:ilvl="4" w:tplc="F996B5A8">
      <w:numFmt w:val="decimal"/>
      <w:lvlText w:val=""/>
      <w:lvlJc w:val="left"/>
    </w:lvl>
    <w:lvl w:ilvl="5" w:tplc="7966D172">
      <w:numFmt w:val="decimal"/>
      <w:lvlText w:val=""/>
      <w:lvlJc w:val="left"/>
    </w:lvl>
    <w:lvl w:ilvl="6" w:tplc="85548900">
      <w:numFmt w:val="decimal"/>
      <w:lvlText w:val=""/>
      <w:lvlJc w:val="left"/>
    </w:lvl>
    <w:lvl w:ilvl="7" w:tplc="44D870B8">
      <w:numFmt w:val="decimal"/>
      <w:lvlText w:val=""/>
      <w:lvlJc w:val="left"/>
    </w:lvl>
    <w:lvl w:ilvl="8" w:tplc="A25C1FD0">
      <w:numFmt w:val="decimal"/>
      <w:lvlText w:val=""/>
      <w:lvlJc w:val="left"/>
    </w:lvl>
  </w:abstractNum>
  <w:num w:numId="1" w16cid:durableId="1454054571">
    <w:abstractNumId w:val="0"/>
    <w:lvlOverride w:ilvl="0">
      <w:startOverride w:val="1"/>
    </w:lvlOverride>
  </w:num>
  <w:num w:numId="2" w16cid:durableId="98751857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31C"/>
    <w:rsid w:val="0007659A"/>
    <w:rsid w:val="000F6DF4"/>
    <w:rsid w:val="00241C24"/>
    <w:rsid w:val="002614FB"/>
    <w:rsid w:val="00303876"/>
    <w:rsid w:val="003C0BAD"/>
    <w:rsid w:val="005D2FAC"/>
    <w:rsid w:val="007010BE"/>
    <w:rsid w:val="007359BB"/>
    <w:rsid w:val="00894197"/>
    <w:rsid w:val="00901DA1"/>
    <w:rsid w:val="00953764"/>
    <w:rsid w:val="009D4DC0"/>
    <w:rsid w:val="00BB731C"/>
    <w:rsid w:val="00BF485F"/>
    <w:rsid w:val="00CE371A"/>
    <w:rsid w:val="00DA0CAF"/>
    <w:rsid w:val="00DD12E1"/>
    <w:rsid w:val="00FF2E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59312"/>
  <w15:docId w15:val="{E3A92C91-3DB2-4EDE-BFA1-E32D5F79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18"/>
        <w:szCs w:val="1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rPr>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2614FB"/>
    <w:pPr>
      <w:tabs>
        <w:tab w:val="center" w:pos="4536"/>
        <w:tab w:val="right" w:pos="9072"/>
      </w:tabs>
    </w:pPr>
  </w:style>
  <w:style w:type="character" w:customStyle="1" w:styleId="En-tteCar">
    <w:name w:val="En-tête Car"/>
    <w:basedOn w:val="Policepardfaut"/>
    <w:link w:val="En-tte"/>
    <w:uiPriority w:val="99"/>
    <w:rsid w:val="002614FB"/>
  </w:style>
  <w:style w:type="paragraph" w:styleId="Pieddepage">
    <w:name w:val="footer"/>
    <w:basedOn w:val="Normal"/>
    <w:link w:val="PieddepageCar"/>
    <w:uiPriority w:val="99"/>
    <w:unhideWhenUsed/>
    <w:rsid w:val="002614FB"/>
    <w:pPr>
      <w:tabs>
        <w:tab w:val="center" w:pos="4536"/>
        <w:tab w:val="right" w:pos="9072"/>
      </w:tabs>
    </w:pPr>
  </w:style>
  <w:style w:type="character" w:customStyle="1" w:styleId="PieddepageCar">
    <w:name w:val="Pied de page Car"/>
    <w:basedOn w:val="Policepardfaut"/>
    <w:link w:val="Pieddepage"/>
    <w:uiPriority w:val="99"/>
    <w:rsid w:val="00261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1615</Words>
  <Characters>8887</Characters>
  <Application>Microsoft Office Word</Application>
  <DocSecurity>0</DocSecurity>
  <Lines>74</Lines>
  <Paragraphs>20</Paragraphs>
  <ScaleCrop>false</ScaleCrop>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David Vandenborght</cp:lastModifiedBy>
  <cp:revision>4</cp:revision>
  <dcterms:created xsi:type="dcterms:W3CDTF">2026-03-13T15:49:00Z</dcterms:created>
  <dcterms:modified xsi:type="dcterms:W3CDTF">2026-03-13T16:09:00Z</dcterms:modified>
</cp:coreProperties>
</file>