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Custom"/>
        <w:jc w:val="center"/>
      </w:pPr>
      <w:r>
        <w:t>Analyse comparative du CV SAR_FASTOR_GIE</w:t>
      </w:r>
    </w:p>
    <w:p>
      <w:pPr>
        <w:jc w:val="center"/>
      </w:pPr>
      <w:r>
        <w:rPr>
          <w:i/>
          <w:sz w:val="20"/>
        </w:rPr>
        <w:t>Positionnement de SAR vis-à-vis des autres CV proposés pour une mission de coaching sécurité projet / architecture / analyse de risques</w:t>
      </w:r>
    </w:p>
    <w:tbl>
      <w:tblPr>
        <w:tblW w:type="auto" w:w="0"/>
        <w:jc w:val="center"/>
        <w:tblLayout w:type="fixed"/>
        <w:tblLook w:firstColumn="1" w:firstRow="1" w:lastColumn="0" w:lastRow="0" w:noHBand="0" w:noVBand="1" w:val="04A0"/>
      </w:tblPr>
      <w:tblGrid>
        <w:gridCol w:w="9071"/>
      </w:tblGrid>
      <w:tr>
        <w:tc>
          <w:tcPr>
            <w:tcW w:type="dxa" w:w="10312"/>
            <w:shd w:fill="F4F4F4"/>
            <w:vAlign w:val="center"/>
          </w:tcPr>
          <w:p>
            <w:pPr>
              <w:spacing w:after="40" w:before="40"/>
            </w:pPr>
            <w:r>
              <w:rPr>
                <w:b/>
                <w:color w:val="780000"/>
                <w:sz w:val="20"/>
              </w:rPr>
              <w:t>Périmètre d’analyse</w:t>
            </w:r>
          </w:p>
          <w:p>
            <w:pPr>
              <w:spacing w:after="0"/>
            </w:pPr>
            <w:r>
              <w:t>Comparaison réalisée sur la base du besoin client précédemment communiqué : accompagnement / coaching sécurité dans les projets métier et infrastructure, analyse de sécurité et de risques, revue d’architectures, coordination transverse, anglais professionnel.</w:t>
            </w:r>
          </w:p>
        </w:tc>
      </w:tr>
    </w:tbl>
    <w:p/>
    <w:p>
      <w:pPr>
        <w:pStyle w:val="Heading1Custom"/>
      </w:pPr>
      <w:r>
        <w:t>Synthèse exécutive</w:t>
      </w:r>
    </w:p>
    <w:p>
      <w:pPr>
        <w:spacing w:after="100"/>
      </w:pPr>
      <w:r>
        <w:t>Par rapport aux trois autres profils étudiés, SAR apparaît comme le candidat le plus directement aligné avec la mission. Son CV est celui qui combine le mieux les quatre dimensions au coeur du besoin : coaching sécurité dans les projets, analyses de risques et recommandations, revue d’architectures de sécurité, et pilotage transverse avec animation de comités.</w:t>
      </w:r>
    </w:p>
    <w:p>
      <w:pPr>
        <w:spacing w:after="100"/>
      </w:pPr>
      <w:r>
        <w:t>SAR se distingue surtout par sa capacité à parler à la fois au métier, aux équipes infrastructure, à la production, à la sécurité et aux décideurs. Le CV a été clairement orienté mission, avec un vocabulaire très proche du besoin client, ce qui le rend particulièrement performant pour une lecture ESN, client final ou filtrage ATS.</w:t>
      </w:r>
    </w:p>
    <w:p>
      <w:pPr>
        <w:spacing w:after="100"/>
      </w:pPr>
      <w:r>
        <w:t>Les autres CV présentent de vrais atouts, mais avec un positionnement plus spécialisé : FKF est davantage centré cloud / IAM / cryptographie, KAL sur l’architecture technique cloud de haut niveau, et THI sur la sécurité réseau, GRC, conformité et remédiation. En comparaison, SAR est le plus équilibré et le plus immédiatement exploitable pour une mission transverse de coaching sécurité projet.</w:t>
      </w:r>
    </w:p>
    <w:p>
      <w:pPr>
        <w:pStyle w:val="Heading1Custom"/>
      </w:pPr>
      <w:r>
        <w:t>Classement de pertinence</w:t>
      </w:r>
    </w:p>
    <w:tbl>
      <w:tblPr>
        <w:tblStyle w:val="TableGrid"/>
        <w:tblW w:type="auto" w:w="0"/>
        <w:jc w:val="center"/>
        <w:tblLook w:firstColumn="1" w:firstRow="1" w:lastColumn="0" w:lastRow="0" w:noHBand="0" w:noVBand="1" w:val="04A0"/>
      </w:tblPr>
      <w:tblGrid>
        <w:gridCol w:w="2578"/>
        <w:gridCol w:w="2578"/>
        <w:gridCol w:w="2578"/>
        <w:gridCol w:w="2578"/>
      </w:tblGrid>
      <w:tr>
        <w:tc>
          <w:tcPr>
            <w:tcW w:type="dxa" w:w="2578"/>
            <w:shd w:fill="C00000"/>
            <w:vAlign w:val="center"/>
          </w:tcPr>
          <w:p>
            <w:pPr>
              <w:spacing w:after="0" w:before="0"/>
            </w:pPr>
            <w:r/>
            <w:r>
              <w:rPr>
                <w:b/>
                <w:color w:val="FFFFFF"/>
                <w:sz w:val="20"/>
              </w:rPr>
              <w:t>Rang</w:t>
            </w:r>
          </w:p>
        </w:tc>
        <w:tc>
          <w:tcPr>
            <w:tcW w:type="dxa" w:w="2578"/>
            <w:shd w:fill="C00000"/>
            <w:vAlign w:val="center"/>
          </w:tcPr>
          <w:p>
            <w:pPr>
              <w:spacing w:after="0" w:before="0"/>
            </w:pPr>
            <w:r/>
            <w:r>
              <w:rPr>
                <w:b/>
                <w:color w:val="FFFFFF"/>
                <w:sz w:val="20"/>
              </w:rPr>
              <w:t>Profil</w:t>
            </w:r>
          </w:p>
        </w:tc>
        <w:tc>
          <w:tcPr>
            <w:tcW w:type="dxa" w:w="2578"/>
            <w:shd w:fill="C00000"/>
            <w:vAlign w:val="center"/>
          </w:tcPr>
          <w:p>
            <w:pPr>
              <w:spacing w:after="0" w:before="0"/>
            </w:pPr>
            <w:r/>
            <w:r>
              <w:rPr>
                <w:b/>
                <w:color w:val="FFFFFF"/>
                <w:sz w:val="20"/>
              </w:rPr>
              <w:t>Score de fit mission</w:t>
            </w:r>
          </w:p>
        </w:tc>
        <w:tc>
          <w:tcPr>
            <w:tcW w:type="dxa" w:w="2578"/>
            <w:shd w:fill="C00000"/>
            <w:vAlign w:val="center"/>
          </w:tcPr>
          <w:p>
            <w:pPr>
              <w:spacing w:after="0" w:before="0"/>
            </w:pPr>
            <w:r/>
            <w:r>
              <w:rPr>
                <w:b/>
                <w:color w:val="FFFFFF"/>
                <w:sz w:val="20"/>
              </w:rPr>
              <w:t>Lecture synthétique</w:t>
            </w:r>
          </w:p>
        </w:tc>
      </w:tr>
      <w:tr>
        <w:tc>
          <w:tcPr>
            <w:tcW w:type="dxa" w:w="2578"/>
            <w:vAlign w:val="center"/>
            <w:shd w:fill="FDE9E7"/>
          </w:tcPr>
          <w:p>
            <w:pPr>
              <w:spacing w:after="0" w:before="0"/>
              <w:jc w:val="center"/>
            </w:pPr>
            <w:r/>
            <w:r>
              <w:rPr>
                <w:b w:val="0"/>
                <w:sz w:val="18"/>
              </w:rPr>
              <w:t>1</w:t>
            </w:r>
          </w:p>
        </w:tc>
        <w:tc>
          <w:tcPr>
            <w:tcW w:type="dxa" w:w="2578"/>
            <w:vAlign w:val="center"/>
            <w:shd w:fill="FDE9E7"/>
          </w:tcPr>
          <w:p>
            <w:pPr>
              <w:spacing w:after="0" w:before="0"/>
            </w:pPr>
            <w:r/>
            <w:r>
              <w:rPr>
                <w:b w:val="0"/>
                <w:sz w:val="18"/>
              </w:rPr>
              <w:t>SAR</w:t>
            </w:r>
          </w:p>
        </w:tc>
        <w:tc>
          <w:tcPr>
            <w:tcW w:type="dxa" w:w="2578"/>
            <w:vAlign w:val="center"/>
            <w:shd w:fill="FDE9E7"/>
          </w:tcPr>
          <w:p>
            <w:pPr>
              <w:spacing w:after="0" w:before="0"/>
            </w:pPr>
            <w:r/>
            <w:r>
              <w:rPr>
                <w:b w:val="0"/>
                <w:sz w:val="18"/>
              </w:rPr>
              <w:t>98/100</w:t>
            </w:r>
          </w:p>
        </w:tc>
        <w:tc>
          <w:tcPr>
            <w:tcW w:type="dxa" w:w="2578"/>
            <w:vAlign w:val="center"/>
            <w:shd w:fill="FDE9E7"/>
          </w:tcPr>
          <w:p>
            <w:pPr>
              <w:spacing w:after="0" w:before="0"/>
            </w:pPr>
            <w:r/>
            <w:r>
              <w:rPr>
                <w:b w:val="0"/>
                <w:sz w:val="18"/>
              </w:rPr>
              <w:t>Meilleur équilibre entre sécurité projet, analyse de risques, architecture de sécurité, comitologie et coordination transverse.</w:t>
            </w:r>
          </w:p>
        </w:tc>
      </w:tr>
      <w:tr>
        <w:tc>
          <w:tcPr>
            <w:tcW w:type="dxa" w:w="2578"/>
            <w:vAlign w:val="center"/>
          </w:tcPr>
          <w:p>
            <w:pPr>
              <w:spacing w:after="0" w:before="0"/>
              <w:jc w:val="center"/>
            </w:pPr>
            <w:r/>
            <w:r>
              <w:rPr>
                <w:b w:val="0"/>
                <w:sz w:val="18"/>
              </w:rPr>
              <w:t>2</w:t>
            </w:r>
          </w:p>
        </w:tc>
        <w:tc>
          <w:tcPr>
            <w:tcW w:type="dxa" w:w="2578"/>
            <w:vAlign w:val="center"/>
          </w:tcPr>
          <w:p>
            <w:pPr>
              <w:spacing w:after="0" w:before="0"/>
            </w:pPr>
            <w:r/>
            <w:r>
              <w:rPr>
                <w:b w:val="0"/>
                <w:sz w:val="18"/>
              </w:rPr>
              <w:t>THI</w:t>
            </w:r>
          </w:p>
        </w:tc>
        <w:tc>
          <w:tcPr>
            <w:tcW w:type="dxa" w:w="2578"/>
            <w:vAlign w:val="center"/>
          </w:tcPr>
          <w:p>
            <w:pPr>
              <w:spacing w:after="0" w:before="0"/>
            </w:pPr>
            <w:r/>
            <w:r>
              <w:rPr>
                <w:b w:val="0"/>
                <w:sz w:val="18"/>
              </w:rPr>
              <w:t>91/100</w:t>
            </w:r>
          </w:p>
        </w:tc>
        <w:tc>
          <w:tcPr>
            <w:tcW w:type="dxa" w:w="2578"/>
            <w:vAlign w:val="center"/>
          </w:tcPr>
          <w:p>
            <w:pPr>
              <w:spacing w:after="0" w:before="0"/>
            </w:pPr>
            <w:r/>
            <w:r>
              <w:rPr>
                <w:b w:val="0"/>
                <w:sz w:val="18"/>
              </w:rPr>
              <w:t>Très solide sur risque, GRC, réseau, conformité et sécurité transverse ; un peu moins naturel sur l’axe AppSec / DevSecOps / coaching projet applicatif.</w:t>
            </w:r>
          </w:p>
        </w:tc>
      </w:tr>
      <w:tr>
        <w:tc>
          <w:tcPr>
            <w:tcW w:type="dxa" w:w="2578"/>
            <w:vAlign w:val="center"/>
          </w:tcPr>
          <w:p>
            <w:pPr>
              <w:spacing w:after="0" w:before="0"/>
              <w:jc w:val="center"/>
            </w:pPr>
            <w:r/>
            <w:r>
              <w:rPr>
                <w:b w:val="0"/>
                <w:sz w:val="18"/>
              </w:rPr>
              <w:t>3</w:t>
            </w:r>
          </w:p>
        </w:tc>
        <w:tc>
          <w:tcPr>
            <w:tcW w:type="dxa" w:w="2578"/>
            <w:vAlign w:val="center"/>
          </w:tcPr>
          <w:p>
            <w:pPr>
              <w:spacing w:after="0" w:before="0"/>
            </w:pPr>
            <w:r/>
            <w:r>
              <w:rPr>
                <w:b w:val="0"/>
                <w:sz w:val="18"/>
              </w:rPr>
              <w:t>KAL</w:t>
            </w:r>
          </w:p>
        </w:tc>
        <w:tc>
          <w:tcPr>
            <w:tcW w:type="dxa" w:w="2578"/>
            <w:vAlign w:val="center"/>
          </w:tcPr>
          <w:p>
            <w:pPr>
              <w:spacing w:after="0" w:before="0"/>
            </w:pPr>
            <w:r/>
            <w:r>
              <w:rPr>
                <w:b w:val="0"/>
                <w:sz w:val="18"/>
              </w:rPr>
              <w:t>88/100</w:t>
            </w:r>
          </w:p>
        </w:tc>
        <w:tc>
          <w:tcPr>
            <w:tcW w:type="dxa" w:w="2578"/>
            <w:vAlign w:val="center"/>
          </w:tcPr>
          <w:p>
            <w:pPr>
              <w:spacing w:after="0" w:before="0"/>
            </w:pPr>
            <w:r/>
            <w:r>
              <w:rPr>
                <w:b w:val="0"/>
                <w:sz w:val="18"/>
              </w:rPr>
              <w:t>Excellent architecte cloud / technique, mais moins centré sur l’intégration sécurité projet, l’analyse de risques opérationnelle et le coaching transverse.</w:t>
            </w:r>
          </w:p>
        </w:tc>
      </w:tr>
      <w:tr>
        <w:tc>
          <w:tcPr>
            <w:tcW w:type="dxa" w:w="2578"/>
            <w:vAlign w:val="center"/>
          </w:tcPr>
          <w:p>
            <w:pPr>
              <w:spacing w:after="0" w:before="0"/>
              <w:jc w:val="center"/>
            </w:pPr>
            <w:r/>
            <w:r>
              <w:rPr>
                <w:b w:val="0"/>
                <w:sz w:val="18"/>
              </w:rPr>
              <w:t>4</w:t>
            </w:r>
          </w:p>
        </w:tc>
        <w:tc>
          <w:tcPr>
            <w:tcW w:type="dxa" w:w="2578"/>
            <w:vAlign w:val="center"/>
          </w:tcPr>
          <w:p>
            <w:pPr>
              <w:spacing w:after="0" w:before="0"/>
            </w:pPr>
            <w:r/>
            <w:r>
              <w:rPr>
                <w:b w:val="0"/>
                <w:sz w:val="18"/>
              </w:rPr>
              <w:t>FKF</w:t>
            </w:r>
          </w:p>
        </w:tc>
        <w:tc>
          <w:tcPr>
            <w:tcW w:type="dxa" w:w="2578"/>
            <w:vAlign w:val="center"/>
          </w:tcPr>
          <w:p>
            <w:pPr>
              <w:spacing w:after="0" w:before="0"/>
            </w:pPr>
            <w:r/>
            <w:r>
              <w:rPr>
                <w:b w:val="0"/>
                <w:sz w:val="18"/>
              </w:rPr>
              <w:t>86/100</w:t>
            </w:r>
          </w:p>
        </w:tc>
        <w:tc>
          <w:tcPr>
            <w:tcW w:type="dxa" w:w="2578"/>
            <w:vAlign w:val="center"/>
          </w:tcPr>
          <w:p>
            <w:pPr>
              <w:spacing w:after="0" w:before="0"/>
            </w:pPr>
            <w:r/>
            <w:r>
              <w:rPr>
                <w:b w:val="0"/>
                <w:sz w:val="18"/>
              </w:rPr>
              <w:t>Bon profil cloud / IAM / cryptographie / DevSecOps, mais séniorité plus courte et couverture moins large sur la dimension sécurité projet transverse demandée.</w:t>
            </w:r>
          </w:p>
        </w:tc>
      </w:tr>
    </w:tbl>
    <w:p/>
    <w:p>
      <w:pPr>
        <w:pStyle w:val="Heading1Custom"/>
      </w:pPr>
      <w:r>
        <w:t>Comparaison SAR vs FKF</w:t>
      </w:r>
    </w:p>
    <w:p>
      <w:pPr>
        <w:spacing w:after="80"/>
      </w:pPr>
      <w:r>
        <w:rPr>
          <w:b/>
        </w:rPr>
        <w:t xml:space="preserve">Verdict : </w:t>
      </w:r>
      <w:r>
        <w:t>FKF est un bon profil cybersécurité moderne, orienté cloud, IAM, cryptographie et DevSecOps, mais il est moins complet que SAR sur la dimension coaching sécurité projet / architecture transverse.</w:t>
      </w:r>
    </w:p>
    <w:p>
      <w:pPr>
        <w:pStyle w:val="Heading2Custom"/>
      </w:pPr>
      <w:r>
        <w:t>Points forts</w:t>
      </w:r>
    </w:p>
    <w:p>
      <w:pPr>
        <w:spacing w:after="20"/>
        <w:ind w:left="227"/>
      </w:pPr>
      <w:r>
        <w:rPr>
          <w:b/>
        </w:rPr>
        <w:t xml:space="preserve">• </w:t>
      </w:r>
      <w:r>
        <w:t>7 ans d’expérience cohérents avec des sujets cloud AWS/Azure, IAM, PKI, HSM, Zero Trust et intégration DevSecOps.</w:t>
      </w:r>
    </w:p>
    <w:p>
      <w:pPr>
        <w:spacing w:after="20"/>
        <w:ind w:left="227"/>
      </w:pPr>
      <w:r>
        <w:rPr>
          <w:b/>
        </w:rPr>
        <w:t xml:space="preserve">• </w:t>
      </w:r>
      <w:r>
        <w:t>Bonne exposition à la gouvernance sécurité, aux comités de pilotage, au reporting et au suivi de plans de remédiation.</w:t>
      </w:r>
    </w:p>
    <w:p>
      <w:pPr>
        <w:spacing w:after="20"/>
        <w:ind w:left="227"/>
      </w:pPr>
      <w:r>
        <w:rPr>
          <w:b/>
        </w:rPr>
        <w:t xml:space="preserve">• </w:t>
      </w:r>
      <w:r>
        <w:t>Positionnement intéressant sur la sécurisation cloud, la gestion des identités et la conformité.</w:t>
      </w:r>
    </w:p>
    <w:p>
      <w:pPr>
        <w:pStyle w:val="Heading2Custom"/>
      </w:pPr>
      <w:r>
        <w:t>Limites pour cette mission</w:t>
      </w:r>
    </w:p>
    <w:p>
      <w:pPr>
        <w:spacing w:after="20"/>
        <w:ind w:left="227"/>
      </w:pPr>
      <w:r>
        <w:rPr>
          <w:b/>
        </w:rPr>
        <w:t xml:space="preserve">• </w:t>
      </w:r>
      <w:r>
        <w:t>Séniorité plus courte que SAR pour une mission à forte exposition et forte autonomie.</w:t>
      </w:r>
    </w:p>
    <w:p>
      <w:pPr>
        <w:spacing w:after="20"/>
        <w:ind w:left="227"/>
      </w:pPr>
      <w:r>
        <w:rPr>
          <w:b/>
        </w:rPr>
        <w:t xml:space="preserve">• </w:t>
      </w:r>
      <w:r>
        <w:t>CV davantage spécialisé cloud / cryptographie que réellement centré coaching sécurité dans des projets métier et infrastructure très transverses.</w:t>
      </w:r>
    </w:p>
    <w:p>
      <w:pPr>
        <w:spacing w:after="20"/>
        <w:ind w:left="227"/>
      </w:pPr>
      <w:r>
        <w:rPr>
          <w:b/>
        </w:rPr>
        <w:t xml:space="preserve">• </w:t>
      </w:r>
      <w:r>
        <w:t>Moins de profondeur apparente sur l’architecture de sécurité globale, la comitologie stratégique et la coordination multi-entités lourde.</w:t>
      </w:r>
    </w:p>
    <w:p>
      <w:pPr>
        <w:pStyle w:val="Heading2Custom"/>
      </w:pPr>
      <w:r>
        <w:t>Pourquoi SAR passe devant</w:t>
      </w:r>
    </w:p>
    <w:p>
      <w:pPr>
        <w:spacing w:after="120"/>
      </w:pPr>
      <w:r>
        <w:t>SAR apporte un niveau de maturité supérieur sur le pilotage de projets sécurité, les analyses de risques, l’évaluation d’architectures, le passage RUN/production et la lecture grand compte. Pour cette mission, il rassure davantage qu’un profil plus spécialisé cloud.</w:t>
      </w:r>
    </w:p>
    <w:p>
      <w:pPr>
        <w:pStyle w:val="Heading1Custom"/>
      </w:pPr>
      <w:r>
        <w:t>Comparaison SAR vs KAL</w:t>
      </w:r>
    </w:p>
    <w:p>
      <w:pPr>
        <w:spacing w:after="80"/>
      </w:pPr>
      <w:r>
        <w:rPr>
          <w:b/>
        </w:rPr>
        <w:t xml:space="preserve">Verdict : </w:t>
      </w:r>
      <w:r>
        <w:t xml:space="preserve"> KAL est un architecte cloud très expérimenté, remarquable sur la conception d’architectures et les migrations cloud de grande ampleur, mais son CV est moins orienté coaching sécurité projet que celui de SAR.</w:t>
      </w:r>
    </w:p>
    <w:p>
      <w:pPr>
        <w:pStyle w:val="Heading2Custom"/>
      </w:pPr>
      <w:r>
        <w:t>Points forts</w:t>
      </w:r>
    </w:p>
    <w:p>
      <w:pPr>
        <w:spacing w:after="20"/>
        <w:ind w:left="227"/>
      </w:pPr>
      <w:r>
        <w:rPr>
          <w:b/>
        </w:rPr>
        <w:t xml:space="preserve">• </w:t>
      </w:r>
      <w:r>
        <w:t>28 ans d’expérience et très forte crédibilité sur Azure, AWS, GCP, landing zones, sécurité cloud et architecture technique.</w:t>
      </w:r>
    </w:p>
    <w:p>
      <w:pPr>
        <w:spacing w:after="20"/>
        <w:ind w:left="227"/>
      </w:pPr>
      <w:r>
        <w:rPr>
          <w:b/>
        </w:rPr>
        <w:t xml:space="preserve">• </w:t>
      </w:r>
      <w:r>
        <w:t>Très bon niveau de rédaction d’architectures, de patterns techniques, de security by design et d’industrialisation IaC.</w:t>
      </w:r>
    </w:p>
    <w:p>
      <w:pPr>
        <w:spacing w:after="20"/>
        <w:ind w:left="227"/>
      </w:pPr>
      <w:r>
        <w:rPr>
          <w:b/>
        </w:rPr>
        <w:t xml:space="preserve">• </w:t>
      </w:r>
      <w:r>
        <w:t>Certifications fortes, dont AWS, Azure et EBIOS Risk Manager.</w:t>
      </w:r>
    </w:p>
    <w:p>
      <w:pPr>
        <w:pStyle w:val="Heading2Custom"/>
      </w:pPr>
      <w:r>
        <w:t>Limites pour cette mission</w:t>
      </w:r>
    </w:p>
    <w:p>
      <w:pPr>
        <w:spacing w:after="20"/>
        <w:ind w:left="227"/>
      </w:pPr>
      <w:r>
        <w:rPr>
          <w:b/>
        </w:rPr>
        <w:t xml:space="preserve">• </w:t>
      </w:r>
      <w:r>
        <w:t>Le CV est davantage celui d’un architecte technique cloud que d’un coach sécurité projet transverse.</w:t>
      </w:r>
    </w:p>
    <w:p>
      <w:pPr>
        <w:spacing w:after="20"/>
        <w:ind w:left="227"/>
      </w:pPr>
      <w:r>
        <w:rPr>
          <w:b/>
        </w:rPr>
        <w:t xml:space="preserve">• </w:t>
      </w:r>
      <w:r>
        <w:t>Moins de preuves directes sur le suivi de recommandations de sécurité, la collecte d’informations pour évaluation sécurité, la priorisation de remédiation et l’intégration sécurité au quotidien dans les projets.</w:t>
      </w:r>
    </w:p>
    <w:p>
      <w:pPr>
        <w:spacing w:after="20"/>
        <w:ind w:left="227"/>
      </w:pPr>
      <w:r>
        <w:rPr>
          <w:b/>
        </w:rPr>
        <w:t xml:space="preserve">• </w:t>
      </w:r>
      <w:r>
        <w:t>La composante AppSec / DevSecOps / interaction sécurité-équipes projet est présente, mais moins incarnée que chez SAR.</w:t>
      </w:r>
    </w:p>
    <w:p>
      <w:pPr>
        <w:pStyle w:val="Heading2Custom"/>
      </w:pPr>
      <w:r>
        <w:t>Pourquoi SAR passe devant</w:t>
      </w:r>
    </w:p>
    <w:p>
      <w:pPr>
        <w:spacing w:after="120"/>
      </w:pPr>
      <w:r>
        <w:t>SAR colle mieux au besoin exprimé, qui n’est pas un poste d’architecte cloud senior pur, mais une mission d’accompagnement sécurité dans les projets avec capacité de synthèse, gestion des risques, comitologie et validation d’architectures.</w:t>
      </w:r>
    </w:p>
    <w:p>
      <w:pPr>
        <w:pStyle w:val="Heading1Custom"/>
      </w:pPr>
      <w:r>
        <w:t>Comparaison SAR vs THI</w:t>
      </w:r>
    </w:p>
    <w:p>
      <w:pPr>
        <w:spacing w:after="80"/>
      </w:pPr>
      <w:r>
        <w:rPr>
          <w:b/>
        </w:rPr>
        <w:t xml:space="preserve">Verdict : </w:t>
      </w:r>
      <w:r>
        <w:t>THI est le concurrent le plus crédible face à SAR sur cette mission, grâce à sa forte assise sécurité transverse, réseau, conformité, GRC et EBIOS. Malgré cela, SAR garde l’avantage sur l’équilibre global et la lisibilité mission.</w:t>
      </w:r>
    </w:p>
    <w:p>
      <w:pPr>
        <w:pStyle w:val="Heading2Custom"/>
      </w:pPr>
      <w:r>
        <w:t>Points forts</w:t>
      </w:r>
    </w:p>
    <w:p>
      <w:pPr>
        <w:spacing w:after="20"/>
        <w:ind w:left="227"/>
      </w:pPr>
      <w:r>
        <w:rPr>
          <w:b/>
        </w:rPr>
        <w:t xml:space="preserve">• </w:t>
      </w:r>
      <w:r>
        <w:t>Très bon niveau en sécurité réseau, WAF, segmentation, DDoS, SIEM, MCS/MCO, conformité ISO 27001 / PCI-DSS / NIS2.</w:t>
      </w:r>
    </w:p>
    <w:p>
      <w:pPr>
        <w:spacing w:after="20"/>
        <w:ind w:left="227"/>
      </w:pPr>
      <w:r>
        <w:rPr>
          <w:b/>
        </w:rPr>
        <w:t xml:space="preserve">• </w:t>
      </w:r>
      <w:r>
        <w:t>Bonne exposition à l’analyse de risques EBIOS / ISO 27005, à la remédiation, à la gouvernance sécurité et aux plans d’action.</w:t>
      </w:r>
    </w:p>
    <w:p>
      <w:pPr>
        <w:spacing w:after="20"/>
        <w:ind w:left="227"/>
      </w:pPr>
      <w:r>
        <w:rPr>
          <w:b/>
        </w:rPr>
        <w:t xml:space="preserve">• </w:t>
      </w:r>
      <w:r>
        <w:t>Profil solide pour un environnement sécurité infrastructure, RSSI adjoint, ou sécurité réseau / GRC.</w:t>
      </w:r>
    </w:p>
    <w:p>
      <w:pPr>
        <w:pStyle w:val="Heading2Custom"/>
      </w:pPr>
      <w:r>
        <w:t>Limites pour cette mission</w:t>
      </w:r>
    </w:p>
    <w:p>
      <w:pPr>
        <w:spacing w:after="20"/>
        <w:ind w:left="227"/>
      </w:pPr>
      <w:r>
        <w:rPr>
          <w:b/>
        </w:rPr>
        <w:t xml:space="preserve">• </w:t>
      </w:r>
      <w:r>
        <w:t>Le CV reste plus orienté infrastructure, sécurité réseau et conformité que coaching sécurité projet applicatif / AppSec.</w:t>
      </w:r>
    </w:p>
    <w:p>
      <w:pPr>
        <w:spacing w:after="20"/>
        <w:ind w:left="227"/>
      </w:pPr>
      <w:r>
        <w:rPr>
          <w:b/>
        </w:rPr>
        <w:t xml:space="preserve">• </w:t>
      </w:r>
      <w:r>
        <w:t>Moins de marqueurs forts sur DevSecOps, JIRA, intégration sécurité dans tout le cycle projet et animation de projets de transformation applicative.</w:t>
      </w:r>
    </w:p>
    <w:p>
      <w:pPr>
        <w:spacing w:after="20"/>
        <w:ind w:left="227"/>
      </w:pPr>
      <w:r>
        <w:rPr>
          <w:b/>
        </w:rPr>
        <w:t xml:space="preserve">• </w:t>
      </w:r>
      <w:r>
        <w:t>La narration du CV est un peu moins fluide et moins directement calée sur le wording de la mission.</w:t>
      </w:r>
    </w:p>
    <w:p>
      <w:pPr>
        <w:pStyle w:val="Heading2Custom"/>
      </w:pPr>
      <w:r>
        <w:t>Pourquoi SAR passe devant</w:t>
      </w:r>
    </w:p>
    <w:p>
      <w:pPr>
        <w:spacing w:after="120"/>
      </w:pPr>
      <w:r>
        <w:t>SAR est plus équilibré entre risque, AppSec, architecture, coordination transverse, animation de comités, IAM/PAM, cloud/M365 et projet. Pour une mission client nécessitant autant de pédagogie que de technicité, il passe devant d’une courte tête.</w:t>
      </w:r>
    </w:p>
    <w:p>
      <w:pPr>
        <w:pStyle w:val="Heading1Custom"/>
      </w:pPr>
      <w:r>
        <w:t>Analyse par critères clés</w:t>
      </w:r>
    </w:p>
    <w:tbl>
      <w:tblPr>
        <w:tblStyle w:val="TableGrid"/>
        <w:tblW w:type="auto" w:w="0"/>
        <w:jc w:val="center"/>
        <w:tblLook w:firstColumn="1" w:firstRow="1" w:lastColumn="0" w:lastRow="0" w:noHBand="0" w:noVBand="1" w:val="04A0"/>
      </w:tblPr>
      <w:tblGrid>
        <w:gridCol w:w="1719"/>
        <w:gridCol w:w="1719"/>
        <w:gridCol w:w="1719"/>
        <w:gridCol w:w="1719"/>
        <w:gridCol w:w="1719"/>
        <w:gridCol w:w="1719"/>
      </w:tblGrid>
      <w:tr>
        <w:tc>
          <w:tcPr>
            <w:tcW w:type="dxa" w:w="1719"/>
            <w:shd w:fill="C00000"/>
          </w:tcPr>
          <w:p>
            <w:pPr>
              <w:spacing w:after="0" w:before="0"/>
            </w:pPr>
            <w:r/>
            <w:r>
              <w:rPr>
                <w:b/>
                <w:color w:val="FFFFFF"/>
                <w:sz w:val="18"/>
              </w:rPr>
              <w:t>Critère</w:t>
            </w:r>
          </w:p>
        </w:tc>
        <w:tc>
          <w:tcPr>
            <w:tcW w:type="dxa" w:w="1719"/>
            <w:shd w:fill="C00000"/>
          </w:tcPr>
          <w:p>
            <w:pPr>
              <w:spacing w:after="0" w:before="0"/>
            </w:pPr>
            <w:r/>
            <w:r>
              <w:rPr>
                <w:b/>
                <w:color w:val="FFFFFF"/>
                <w:sz w:val="18"/>
              </w:rPr>
              <w:t>SAR</w:t>
            </w:r>
          </w:p>
        </w:tc>
        <w:tc>
          <w:tcPr>
            <w:tcW w:type="dxa" w:w="1719"/>
            <w:shd w:fill="C00000"/>
          </w:tcPr>
          <w:p>
            <w:pPr>
              <w:spacing w:after="0" w:before="0"/>
            </w:pPr>
            <w:r/>
            <w:r>
              <w:rPr>
                <w:b/>
                <w:color w:val="FFFFFF"/>
                <w:sz w:val="18"/>
              </w:rPr>
              <w:t>FKF</w:t>
            </w:r>
          </w:p>
        </w:tc>
        <w:tc>
          <w:tcPr>
            <w:tcW w:type="dxa" w:w="1719"/>
            <w:shd w:fill="C00000"/>
          </w:tcPr>
          <w:p>
            <w:pPr>
              <w:spacing w:after="0" w:before="0"/>
            </w:pPr>
            <w:r/>
            <w:r>
              <w:rPr>
                <w:b/>
                <w:color w:val="FFFFFF"/>
                <w:sz w:val="18"/>
              </w:rPr>
              <w:t>KAL</w:t>
            </w:r>
          </w:p>
        </w:tc>
        <w:tc>
          <w:tcPr>
            <w:tcW w:type="dxa" w:w="1719"/>
            <w:shd w:fill="C00000"/>
          </w:tcPr>
          <w:p>
            <w:pPr>
              <w:spacing w:after="0" w:before="0"/>
            </w:pPr>
            <w:r/>
            <w:r>
              <w:rPr>
                <w:b/>
                <w:color w:val="FFFFFF"/>
                <w:sz w:val="18"/>
              </w:rPr>
              <w:t>THI</w:t>
            </w:r>
          </w:p>
        </w:tc>
        <w:tc>
          <w:tcPr>
            <w:tcW w:type="dxa" w:w="1719"/>
            <w:shd w:fill="C00000"/>
          </w:tcPr>
          <w:p>
            <w:pPr>
              <w:spacing w:after="0" w:before="0"/>
            </w:pPr>
            <w:r/>
            <w:r>
              <w:rPr>
                <w:b/>
                <w:color w:val="FFFFFF"/>
                <w:sz w:val="18"/>
              </w:rPr>
              <w:t>Commentaire</w:t>
            </w:r>
          </w:p>
        </w:tc>
      </w:tr>
      <w:tr>
        <w:tc>
          <w:tcPr>
            <w:tcW w:type="dxa" w:w="1719"/>
            <w:vAlign w:val="center"/>
          </w:tcPr>
          <w:p>
            <w:pPr>
              <w:spacing w:after="0" w:before="0"/>
            </w:pPr>
            <w:r/>
            <w:r>
              <w:rPr>
                <w:b w:val="0"/>
                <w:sz w:val="18"/>
              </w:rPr>
              <w:t>Coaching sécurité projet</w:t>
            </w:r>
          </w:p>
        </w:tc>
        <w:tc>
          <w:tcPr>
            <w:tcW w:type="dxa" w:w="1719"/>
            <w:vAlign w:val="center"/>
          </w:tcPr>
          <w:p>
            <w:pPr>
              <w:spacing w:after="0" w:before="0"/>
              <w:jc w:val="center"/>
            </w:pPr>
            <w:r/>
            <w:r>
              <w:rPr>
                <w:b w:val="0"/>
                <w:sz w:val="18"/>
              </w:rPr>
              <w:t>Très fort</w:t>
            </w:r>
          </w:p>
        </w:tc>
        <w:tc>
          <w:tcPr>
            <w:tcW w:type="dxa" w:w="1719"/>
            <w:vAlign w:val="center"/>
          </w:tcPr>
          <w:p>
            <w:pPr>
              <w:spacing w:after="0" w:before="0"/>
              <w:jc w:val="center"/>
            </w:pPr>
            <w:r/>
            <w:r>
              <w:rPr>
                <w:b w:val="0"/>
                <w:sz w:val="18"/>
              </w:rPr>
              <w:t>Moyen +</w:t>
            </w:r>
          </w:p>
        </w:tc>
        <w:tc>
          <w:tcPr>
            <w:tcW w:type="dxa" w:w="1719"/>
            <w:vAlign w:val="center"/>
          </w:tcPr>
          <w:p>
            <w:pPr>
              <w:spacing w:after="0" w:before="0"/>
              <w:jc w:val="center"/>
            </w:pPr>
            <w:r/>
            <w:r>
              <w:rPr>
                <w:b w:val="0"/>
                <w:sz w:val="18"/>
              </w:rPr>
              <w:t>Moyen</w:t>
            </w:r>
          </w:p>
        </w:tc>
        <w:tc>
          <w:tcPr>
            <w:tcW w:type="dxa" w:w="1719"/>
            <w:vAlign w:val="center"/>
          </w:tcPr>
          <w:p>
            <w:pPr>
              <w:spacing w:after="0" w:before="0"/>
              <w:jc w:val="center"/>
            </w:pPr>
            <w:r/>
            <w:r>
              <w:rPr>
                <w:b w:val="0"/>
                <w:sz w:val="18"/>
              </w:rPr>
              <w:t>Fort</w:t>
            </w:r>
          </w:p>
        </w:tc>
        <w:tc>
          <w:tcPr>
            <w:tcW w:type="dxa" w:w="1719"/>
            <w:vAlign w:val="center"/>
          </w:tcPr>
          <w:p>
            <w:pPr>
              <w:spacing w:after="0" w:before="0"/>
            </w:pPr>
            <w:r/>
            <w:r>
              <w:rPr>
                <w:b w:val="0"/>
                <w:sz w:val="16"/>
              </w:rPr>
              <w:t>SAR est le plus lisible sur l’intégration sécurité dans les projets, le suivi des livrables, la recette, la MEP et le RUN.</w:t>
            </w:r>
          </w:p>
        </w:tc>
      </w:tr>
      <w:tr>
        <w:tc>
          <w:tcPr>
            <w:tcW w:type="dxa" w:w="1719"/>
            <w:vAlign w:val="center"/>
          </w:tcPr>
          <w:p>
            <w:pPr>
              <w:spacing w:after="0" w:before="0"/>
            </w:pPr>
            <w:r/>
            <w:r>
              <w:rPr>
                <w:b w:val="0"/>
                <w:sz w:val="18"/>
              </w:rPr>
              <w:t>Analyse de risques</w:t>
            </w:r>
          </w:p>
        </w:tc>
        <w:tc>
          <w:tcPr>
            <w:tcW w:type="dxa" w:w="1719"/>
            <w:vAlign w:val="center"/>
          </w:tcPr>
          <w:p>
            <w:pPr>
              <w:spacing w:after="0" w:before="0"/>
              <w:jc w:val="center"/>
            </w:pPr>
            <w:r/>
            <w:r>
              <w:rPr>
                <w:b w:val="0"/>
                <w:sz w:val="18"/>
              </w:rPr>
              <w:t>Très fort</w:t>
            </w:r>
          </w:p>
        </w:tc>
        <w:tc>
          <w:tcPr>
            <w:tcW w:type="dxa" w:w="1719"/>
            <w:vAlign w:val="center"/>
          </w:tcPr>
          <w:p>
            <w:pPr>
              <w:spacing w:after="0" w:before="0"/>
              <w:jc w:val="center"/>
            </w:pPr>
            <w:r/>
            <w:r>
              <w:rPr>
                <w:b w:val="0"/>
                <w:sz w:val="18"/>
              </w:rPr>
              <w:t>Fort</w:t>
            </w:r>
          </w:p>
        </w:tc>
        <w:tc>
          <w:tcPr>
            <w:tcW w:type="dxa" w:w="1719"/>
            <w:vAlign w:val="center"/>
          </w:tcPr>
          <w:p>
            <w:pPr>
              <w:spacing w:after="0" w:before="0"/>
              <w:jc w:val="center"/>
            </w:pPr>
            <w:r/>
            <w:r>
              <w:rPr>
                <w:b w:val="0"/>
                <w:sz w:val="18"/>
              </w:rPr>
              <w:t>Moyen +</w:t>
            </w:r>
          </w:p>
        </w:tc>
        <w:tc>
          <w:tcPr>
            <w:tcW w:type="dxa" w:w="1719"/>
            <w:vAlign w:val="center"/>
          </w:tcPr>
          <w:p>
            <w:pPr>
              <w:spacing w:after="0" w:before="0"/>
              <w:jc w:val="center"/>
            </w:pPr>
            <w:r/>
            <w:r>
              <w:rPr>
                <w:b w:val="0"/>
                <w:sz w:val="18"/>
              </w:rPr>
              <w:t>Très fort</w:t>
            </w:r>
          </w:p>
        </w:tc>
        <w:tc>
          <w:tcPr>
            <w:tcW w:type="dxa" w:w="1719"/>
            <w:vAlign w:val="center"/>
          </w:tcPr>
          <w:p>
            <w:pPr>
              <w:spacing w:after="0" w:before="0"/>
            </w:pPr>
            <w:r/>
            <w:r>
              <w:rPr>
                <w:b w:val="0"/>
                <w:sz w:val="16"/>
              </w:rPr>
              <w:t>SAR et THI ressortent le mieux ; KAL est plus architecture que risque opérationnel.</w:t>
            </w:r>
          </w:p>
        </w:tc>
      </w:tr>
      <w:tr>
        <w:tc>
          <w:tcPr>
            <w:tcW w:type="dxa" w:w="1719"/>
            <w:vAlign w:val="center"/>
          </w:tcPr>
          <w:p>
            <w:pPr>
              <w:spacing w:after="0" w:before="0"/>
            </w:pPr>
            <w:r/>
            <w:r>
              <w:rPr>
                <w:b w:val="0"/>
                <w:sz w:val="18"/>
              </w:rPr>
              <w:t>Architecture de sécurité</w:t>
            </w:r>
          </w:p>
        </w:tc>
        <w:tc>
          <w:tcPr>
            <w:tcW w:type="dxa" w:w="1719"/>
            <w:vAlign w:val="center"/>
          </w:tcPr>
          <w:p>
            <w:pPr>
              <w:spacing w:after="0" w:before="0"/>
              <w:jc w:val="center"/>
            </w:pPr>
            <w:r/>
            <w:r>
              <w:rPr>
                <w:b w:val="0"/>
                <w:sz w:val="18"/>
              </w:rPr>
              <w:t>Très fort</w:t>
            </w:r>
          </w:p>
        </w:tc>
        <w:tc>
          <w:tcPr>
            <w:tcW w:type="dxa" w:w="1719"/>
            <w:vAlign w:val="center"/>
          </w:tcPr>
          <w:p>
            <w:pPr>
              <w:spacing w:after="0" w:before="0"/>
              <w:jc w:val="center"/>
            </w:pPr>
            <w:r/>
            <w:r>
              <w:rPr>
                <w:b w:val="0"/>
                <w:sz w:val="18"/>
              </w:rPr>
              <w:t>Fort</w:t>
            </w:r>
          </w:p>
        </w:tc>
        <w:tc>
          <w:tcPr>
            <w:tcW w:type="dxa" w:w="1719"/>
            <w:vAlign w:val="center"/>
          </w:tcPr>
          <w:p>
            <w:pPr>
              <w:spacing w:after="0" w:before="0"/>
              <w:jc w:val="center"/>
            </w:pPr>
            <w:r/>
            <w:r>
              <w:rPr>
                <w:b w:val="0"/>
                <w:sz w:val="18"/>
              </w:rPr>
              <w:t>Très fort</w:t>
            </w:r>
          </w:p>
        </w:tc>
        <w:tc>
          <w:tcPr>
            <w:tcW w:type="dxa" w:w="1719"/>
            <w:vAlign w:val="center"/>
          </w:tcPr>
          <w:p>
            <w:pPr>
              <w:spacing w:after="0" w:before="0"/>
              <w:jc w:val="center"/>
            </w:pPr>
            <w:r/>
            <w:r>
              <w:rPr>
                <w:b w:val="0"/>
                <w:sz w:val="18"/>
              </w:rPr>
              <w:t>Fort</w:t>
            </w:r>
          </w:p>
        </w:tc>
        <w:tc>
          <w:tcPr>
            <w:tcW w:type="dxa" w:w="1719"/>
            <w:vAlign w:val="center"/>
          </w:tcPr>
          <w:p>
            <w:pPr>
              <w:spacing w:after="0" w:before="0"/>
            </w:pPr>
            <w:r/>
            <w:r>
              <w:rPr>
                <w:b w:val="0"/>
                <w:sz w:val="16"/>
              </w:rPr>
              <w:t>KAL est excellent en architecture cloud ; SAR est plus complet sur architecture + mission projet.</w:t>
            </w:r>
          </w:p>
        </w:tc>
      </w:tr>
      <w:tr>
        <w:tc>
          <w:tcPr>
            <w:tcW w:type="dxa" w:w="1719"/>
            <w:vAlign w:val="center"/>
          </w:tcPr>
          <w:p>
            <w:pPr>
              <w:spacing w:after="0" w:before="0"/>
            </w:pPr>
            <w:r/>
            <w:r>
              <w:rPr>
                <w:b w:val="0"/>
                <w:sz w:val="18"/>
              </w:rPr>
              <w:t>AppSec / DevSecOps</w:t>
            </w:r>
          </w:p>
        </w:tc>
        <w:tc>
          <w:tcPr>
            <w:tcW w:type="dxa" w:w="1719"/>
            <w:vAlign w:val="center"/>
          </w:tcPr>
          <w:p>
            <w:pPr>
              <w:spacing w:after="0" w:before="0"/>
              <w:jc w:val="center"/>
            </w:pPr>
            <w:r/>
            <w:r>
              <w:rPr>
                <w:b w:val="0"/>
                <w:sz w:val="18"/>
              </w:rPr>
              <w:t>Très fort</w:t>
            </w:r>
          </w:p>
        </w:tc>
        <w:tc>
          <w:tcPr>
            <w:tcW w:type="dxa" w:w="1719"/>
            <w:vAlign w:val="center"/>
          </w:tcPr>
          <w:p>
            <w:pPr>
              <w:spacing w:after="0" w:before="0"/>
              <w:jc w:val="center"/>
            </w:pPr>
            <w:r/>
            <w:r>
              <w:rPr>
                <w:b w:val="0"/>
                <w:sz w:val="18"/>
              </w:rPr>
              <w:t>Fort</w:t>
            </w:r>
          </w:p>
        </w:tc>
        <w:tc>
          <w:tcPr>
            <w:tcW w:type="dxa" w:w="1719"/>
            <w:vAlign w:val="center"/>
          </w:tcPr>
          <w:p>
            <w:pPr>
              <w:spacing w:after="0" w:before="0"/>
              <w:jc w:val="center"/>
            </w:pPr>
            <w:r/>
            <w:r>
              <w:rPr>
                <w:b w:val="0"/>
                <w:sz w:val="18"/>
              </w:rPr>
              <w:t>Moyen +</w:t>
            </w:r>
          </w:p>
        </w:tc>
        <w:tc>
          <w:tcPr>
            <w:tcW w:type="dxa" w:w="1719"/>
            <w:vAlign w:val="center"/>
          </w:tcPr>
          <w:p>
            <w:pPr>
              <w:spacing w:after="0" w:before="0"/>
              <w:jc w:val="center"/>
            </w:pPr>
            <w:r/>
            <w:r>
              <w:rPr>
                <w:b w:val="0"/>
                <w:sz w:val="18"/>
              </w:rPr>
              <w:t>Moyen +</w:t>
            </w:r>
          </w:p>
        </w:tc>
        <w:tc>
          <w:tcPr>
            <w:tcW w:type="dxa" w:w="1719"/>
            <w:vAlign w:val="center"/>
          </w:tcPr>
          <w:p>
            <w:pPr>
              <w:spacing w:after="0" w:before="0"/>
            </w:pPr>
            <w:r/>
            <w:r>
              <w:rPr>
                <w:b w:val="0"/>
                <w:sz w:val="16"/>
              </w:rPr>
              <w:t>SAR est le plus crédible sur cet axe précis.</w:t>
            </w:r>
          </w:p>
        </w:tc>
      </w:tr>
      <w:tr>
        <w:tc>
          <w:tcPr>
            <w:tcW w:type="dxa" w:w="1719"/>
            <w:vAlign w:val="center"/>
          </w:tcPr>
          <w:p>
            <w:pPr>
              <w:spacing w:after="0" w:before="0"/>
            </w:pPr>
            <w:r/>
            <w:r>
              <w:rPr>
                <w:b w:val="0"/>
                <w:sz w:val="18"/>
              </w:rPr>
              <w:t>Sécurité cloud / M365</w:t>
            </w:r>
          </w:p>
        </w:tc>
        <w:tc>
          <w:tcPr>
            <w:tcW w:type="dxa" w:w="1719"/>
            <w:vAlign w:val="center"/>
          </w:tcPr>
          <w:p>
            <w:pPr>
              <w:spacing w:after="0" w:before="0"/>
              <w:jc w:val="center"/>
            </w:pPr>
            <w:r/>
            <w:r>
              <w:rPr>
                <w:b w:val="0"/>
                <w:sz w:val="18"/>
              </w:rPr>
              <w:t>Fort</w:t>
            </w:r>
          </w:p>
        </w:tc>
        <w:tc>
          <w:tcPr>
            <w:tcW w:type="dxa" w:w="1719"/>
            <w:vAlign w:val="center"/>
          </w:tcPr>
          <w:p>
            <w:pPr>
              <w:spacing w:after="0" w:before="0"/>
              <w:jc w:val="center"/>
            </w:pPr>
            <w:r/>
            <w:r>
              <w:rPr>
                <w:b w:val="0"/>
                <w:sz w:val="18"/>
              </w:rPr>
              <w:t>Très fort</w:t>
            </w:r>
          </w:p>
        </w:tc>
        <w:tc>
          <w:tcPr>
            <w:tcW w:type="dxa" w:w="1719"/>
            <w:vAlign w:val="center"/>
          </w:tcPr>
          <w:p>
            <w:pPr>
              <w:spacing w:after="0" w:before="0"/>
              <w:jc w:val="center"/>
            </w:pPr>
            <w:r/>
            <w:r>
              <w:rPr>
                <w:b w:val="0"/>
                <w:sz w:val="18"/>
              </w:rPr>
              <w:t>Très fort</w:t>
            </w:r>
          </w:p>
        </w:tc>
        <w:tc>
          <w:tcPr>
            <w:tcW w:type="dxa" w:w="1719"/>
            <w:vAlign w:val="center"/>
          </w:tcPr>
          <w:p>
            <w:pPr>
              <w:spacing w:after="0" w:before="0"/>
              <w:jc w:val="center"/>
            </w:pPr>
            <w:r/>
            <w:r>
              <w:rPr>
                <w:b w:val="0"/>
                <w:sz w:val="18"/>
              </w:rPr>
              <w:t>Fort</w:t>
            </w:r>
          </w:p>
        </w:tc>
        <w:tc>
          <w:tcPr>
            <w:tcW w:type="dxa" w:w="1719"/>
            <w:vAlign w:val="center"/>
          </w:tcPr>
          <w:p>
            <w:pPr>
              <w:spacing w:after="0" w:before="0"/>
            </w:pPr>
            <w:r/>
            <w:r>
              <w:rPr>
                <w:b w:val="0"/>
                <w:sz w:val="16"/>
              </w:rPr>
              <w:t>FKF et KAL sont très forts cloud, mais cela ne suffit pas à compenser le besoin transverse global.</w:t>
            </w:r>
          </w:p>
        </w:tc>
      </w:tr>
      <w:tr>
        <w:tc>
          <w:tcPr>
            <w:tcW w:type="dxa" w:w="1719"/>
            <w:vAlign w:val="center"/>
          </w:tcPr>
          <w:p>
            <w:pPr>
              <w:spacing w:after="0" w:before="0"/>
            </w:pPr>
            <w:r/>
            <w:r>
              <w:rPr>
                <w:b w:val="0"/>
                <w:sz w:val="18"/>
              </w:rPr>
              <w:t>Communication / comités</w:t>
            </w:r>
          </w:p>
        </w:tc>
        <w:tc>
          <w:tcPr>
            <w:tcW w:type="dxa" w:w="1719"/>
            <w:vAlign w:val="center"/>
          </w:tcPr>
          <w:p>
            <w:pPr>
              <w:spacing w:after="0" w:before="0"/>
              <w:jc w:val="center"/>
            </w:pPr>
            <w:r/>
            <w:r>
              <w:rPr>
                <w:b w:val="0"/>
                <w:sz w:val="18"/>
              </w:rPr>
              <w:t>Très fort</w:t>
            </w:r>
          </w:p>
        </w:tc>
        <w:tc>
          <w:tcPr>
            <w:tcW w:type="dxa" w:w="1719"/>
            <w:vAlign w:val="center"/>
          </w:tcPr>
          <w:p>
            <w:pPr>
              <w:spacing w:after="0" w:before="0"/>
              <w:jc w:val="center"/>
            </w:pPr>
            <w:r/>
            <w:r>
              <w:rPr>
                <w:b w:val="0"/>
                <w:sz w:val="18"/>
              </w:rPr>
              <w:t>Fort</w:t>
            </w:r>
          </w:p>
        </w:tc>
        <w:tc>
          <w:tcPr>
            <w:tcW w:type="dxa" w:w="1719"/>
            <w:vAlign w:val="center"/>
          </w:tcPr>
          <w:p>
            <w:pPr>
              <w:spacing w:after="0" w:before="0"/>
              <w:jc w:val="center"/>
            </w:pPr>
            <w:r/>
            <w:r>
              <w:rPr>
                <w:b w:val="0"/>
                <w:sz w:val="18"/>
              </w:rPr>
              <w:t>Fort</w:t>
            </w:r>
          </w:p>
        </w:tc>
        <w:tc>
          <w:tcPr>
            <w:tcW w:type="dxa" w:w="1719"/>
            <w:vAlign w:val="center"/>
          </w:tcPr>
          <w:p>
            <w:pPr>
              <w:spacing w:after="0" w:before="0"/>
              <w:jc w:val="center"/>
            </w:pPr>
            <w:r/>
            <w:r>
              <w:rPr>
                <w:b w:val="0"/>
                <w:sz w:val="18"/>
              </w:rPr>
              <w:t>Fort</w:t>
            </w:r>
          </w:p>
        </w:tc>
        <w:tc>
          <w:tcPr>
            <w:tcW w:type="dxa" w:w="1719"/>
            <w:vAlign w:val="center"/>
          </w:tcPr>
          <w:p>
            <w:pPr>
              <w:spacing w:after="0" w:before="0"/>
            </w:pPr>
            <w:r/>
            <w:r>
              <w:rPr>
                <w:b w:val="0"/>
                <w:sz w:val="16"/>
              </w:rPr>
              <w:t>SAR est le plus calibré comités, COPIL/COTEC et synthèse exécutive.</w:t>
            </w:r>
          </w:p>
        </w:tc>
      </w:tr>
      <w:tr>
        <w:tc>
          <w:tcPr>
            <w:tcW w:type="dxa" w:w="1719"/>
            <w:vAlign w:val="center"/>
          </w:tcPr>
          <w:p>
            <w:pPr>
              <w:spacing w:after="0" w:before="0"/>
            </w:pPr>
            <w:r/>
            <w:r>
              <w:rPr>
                <w:b w:val="0"/>
                <w:sz w:val="18"/>
              </w:rPr>
              <w:t>Adéquation au besoin client</w:t>
            </w:r>
          </w:p>
        </w:tc>
        <w:tc>
          <w:tcPr>
            <w:tcW w:type="dxa" w:w="1719"/>
            <w:vAlign w:val="center"/>
          </w:tcPr>
          <w:p>
            <w:pPr>
              <w:spacing w:after="0" w:before="0"/>
              <w:jc w:val="center"/>
            </w:pPr>
            <w:r/>
            <w:r>
              <w:rPr>
                <w:b w:val="0"/>
                <w:sz w:val="18"/>
              </w:rPr>
              <w:t>Très fort</w:t>
            </w:r>
          </w:p>
        </w:tc>
        <w:tc>
          <w:tcPr>
            <w:tcW w:type="dxa" w:w="1719"/>
            <w:vAlign w:val="center"/>
          </w:tcPr>
          <w:p>
            <w:pPr>
              <w:spacing w:after="0" w:before="0"/>
              <w:jc w:val="center"/>
            </w:pPr>
            <w:r/>
            <w:r>
              <w:rPr>
                <w:b w:val="0"/>
                <w:sz w:val="18"/>
              </w:rPr>
              <w:t>Fort</w:t>
            </w:r>
          </w:p>
        </w:tc>
        <w:tc>
          <w:tcPr>
            <w:tcW w:type="dxa" w:w="1719"/>
            <w:vAlign w:val="center"/>
          </w:tcPr>
          <w:p>
            <w:pPr>
              <w:spacing w:after="0" w:before="0"/>
              <w:jc w:val="center"/>
            </w:pPr>
            <w:r/>
            <w:r>
              <w:rPr>
                <w:b w:val="0"/>
                <w:sz w:val="18"/>
              </w:rPr>
              <w:t>Fort</w:t>
            </w:r>
          </w:p>
        </w:tc>
        <w:tc>
          <w:tcPr>
            <w:tcW w:type="dxa" w:w="1719"/>
            <w:vAlign w:val="center"/>
          </w:tcPr>
          <w:p>
            <w:pPr>
              <w:spacing w:after="0" w:before="0"/>
              <w:jc w:val="center"/>
            </w:pPr>
            <w:r/>
            <w:r>
              <w:rPr>
                <w:b w:val="0"/>
                <w:sz w:val="18"/>
              </w:rPr>
              <w:t>Fort +</w:t>
            </w:r>
          </w:p>
        </w:tc>
        <w:tc>
          <w:tcPr>
            <w:tcW w:type="dxa" w:w="1719"/>
            <w:vAlign w:val="center"/>
          </w:tcPr>
          <w:p>
            <w:pPr>
              <w:spacing w:after="0" w:before="0"/>
            </w:pPr>
            <w:r/>
            <w:r>
              <w:rPr>
                <w:b w:val="0"/>
                <w:sz w:val="16"/>
              </w:rPr>
              <w:t>SAR est celui qui demande le moins de projection au client.</w:t>
            </w:r>
          </w:p>
        </w:tc>
      </w:tr>
    </w:tbl>
    <w:p/>
    <w:p>
      <w:pPr>
        <w:pStyle w:val="Heading1Custom"/>
      </w:pPr>
      <w:r>
        <w:t>Conclusion et recommandation</w:t>
      </w:r>
    </w:p>
    <w:p>
      <w:pPr>
        <w:spacing w:after="40"/>
      </w:pPr>
      <w:r>
        <w:rPr>
          <w:b/>
        </w:rPr>
        <w:t xml:space="preserve">• </w:t>
      </w:r>
      <w:r>
        <w:t>Si l’objectif est de présenter au client le profil le plus rassurant, le plus équilibré et le plus immédiatement compréhensible pour cette mission, SAR est le meilleur choix.</w:t>
      </w:r>
    </w:p>
    <w:p>
      <w:pPr>
        <w:spacing w:after="40"/>
      </w:pPr>
      <w:r>
        <w:rPr>
          <w:b/>
        </w:rPr>
        <w:t xml:space="preserve">• </w:t>
      </w:r>
      <w:r>
        <w:t>THI peut constituer une alternative crédible si le client insiste davantage sur la composante sécurité réseau, GRC, conformité, segmentation et remédiation infrastructure.</w:t>
      </w:r>
    </w:p>
    <w:p>
      <w:pPr>
        <w:spacing w:after="40"/>
      </w:pPr>
      <w:r>
        <w:rPr>
          <w:b/>
        </w:rPr>
        <w:t xml:space="preserve">• </w:t>
      </w:r>
      <w:r>
        <w:t>KAL serait pertinent si le besoin dérivait vers un rôle d’architecte cloud senior plus que vers un rôle de coaching sécurité projet.</w:t>
      </w:r>
    </w:p>
    <w:p>
      <w:pPr>
        <w:spacing w:after="40"/>
      </w:pPr>
      <w:r>
        <w:rPr>
          <w:b/>
        </w:rPr>
        <w:t xml:space="preserve">• </w:t>
      </w:r>
      <w:r>
        <w:t>FKF est un bon profil de complément ou de back-up sur des sujets cloud / IAM / crypto, mais il est moins premium que SAR pour ce besoin précis.</w:t>
      </w:r>
    </w:p>
    <w:p/>
    <w:p>
      <w:pPr>
        <w:jc w:val="center"/>
      </w:pPr>
      <w:r>
        <w:rPr>
          <w:b/>
        </w:rPr>
        <w:t>Avis global : SAR doit être positionné en priorité n°1 sur cette consultation.</w:t>
      </w:r>
    </w:p>
    <w:sectPr w:rsidR="00FC693F" w:rsidRPr="0006063C" w:rsidSect="00034616">
      <w:pgSz w:w="12240" w:h="15840"/>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basedOn w:val="Title"/>
    <w:rPr>
      <w:rFonts w:ascii="Aptos" w:hAnsi="Aptos" w:eastAsia="Aptos"/>
      <w:b/>
      <w:color w:val="AA0000"/>
      <w:sz w:val="40"/>
    </w:rPr>
  </w:style>
  <w:style w:type="paragraph" w:customStyle="1" w:styleId="Heading1Custom">
    <w:name w:val="Heading1Custom"/>
    <w:basedOn w:val="Heading1"/>
    <w:rPr>
      <w:rFonts w:ascii="Aptos" w:hAnsi="Aptos" w:eastAsia="Aptos"/>
      <w:b/>
      <w:color w:val="AA0000"/>
      <w:sz w:val="26"/>
    </w:rPr>
  </w:style>
  <w:style w:type="paragraph" w:customStyle="1" w:styleId="Heading2Custom">
    <w:name w:val="Heading2Custom"/>
    <w:basedOn w:val="Heading2"/>
    <w:rPr>
      <w:rFonts w:ascii="Aptos" w:hAnsi="Aptos" w:eastAsia="Aptos"/>
      <w:b/>
      <w:color w:val="3C3C3C"/>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