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23E55" w14:textId="77777777" w:rsidR="007F1969" w:rsidRDefault="007F1969">
      <w:pPr>
        <w:spacing w:after="200" w:line="252" w:lineRule="auto"/>
      </w:pPr>
    </w:p>
    <w:p w14:paraId="416E264F" w14:textId="77777777" w:rsidR="007F1969" w:rsidRDefault="007F1969">
      <w:pPr>
        <w:spacing w:after="200" w:line="252" w:lineRule="auto"/>
      </w:pPr>
    </w:p>
    <w:p w14:paraId="39C0800A" w14:textId="77777777" w:rsidR="007F1969" w:rsidRDefault="007F1969">
      <w:pPr>
        <w:spacing w:after="200" w:line="252" w:lineRule="auto"/>
      </w:pPr>
    </w:p>
    <w:p w14:paraId="28FCC338" w14:textId="77777777" w:rsidR="007F1969" w:rsidRDefault="007F1969">
      <w:pPr>
        <w:spacing w:after="200" w:line="252" w:lineRule="auto"/>
      </w:pPr>
    </w:p>
    <w:p w14:paraId="03DA0F0B" w14:textId="77777777" w:rsidR="007F1969" w:rsidRDefault="007F1969">
      <w:pPr>
        <w:spacing w:after="200" w:line="252" w:lineRule="auto"/>
      </w:pPr>
    </w:p>
    <w:p w14:paraId="5F7FC859" w14:textId="77777777" w:rsidR="007F1969" w:rsidRDefault="00000000">
      <w:pPr>
        <w:spacing w:after="360" w:line="252" w:lineRule="auto"/>
        <w:jc w:val="center"/>
      </w:pPr>
      <w:r>
        <w:rPr>
          <w:b/>
          <w:sz w:val="40"/>
        </w:rPr>
        <w:t>Fédération AGIRC-ARRCO</w:t>
      </w:r>
    </w:p>
    <w:p w14:paraId="4435F6BE" w14:textId="77777777" w:rsidR="007F1969" w:rsidRDefault="00000000">
      <w:pPr>
        <w:spacing w:after="40" w:line="252" w:lineRule="auto"/>
        <w:jc w:val="center"/>
      </w:pPr>
      <w:r>
        <w:rPr>
          <w:sz w:val="28"/>
        </w:rPr>
        <w:t>Code affaire de l’appel d’offres</w:t>
      </w:r>
    </w:p>
    <w:p w14:paraId="6547ACE4" w14:textId="77777777" w:rsidR="007F1969" w:rsidRDefault="00000000">
      <w:pPr>
        <w:spacing w:after="360" w:line="252" w:lineRule="auto"/>
        <w:jc w:val="center"/>
      </w:pPr>
      <w:r>
        <w:rPr>
          <w:b/>
          <w:sz w:val="32"/>
        </w:rPr>
        <w:t>2026-02-FMI-020</w:t>
      </w:r>
    </w:p>
    <w:p w14:paraId="09C086D1" w14:textId="77777777" w:rsidR="007F1969" w:rsidRDefault="00000000">
      <w:pPr>
        <w:spacing w:after="40" w:line="252" w:lineRule="auto"/>
        <w:jc w:val="center"/>
      </w:pPr>
      <w:r>
        <w:rPr>
          <w:sz w:val="28"/>
        </w:rPr>
        <w:t>Intitulé de l’appel d’offres</w:t>
      </w:r>
    </w:p>
    <w:p w14:paraId="3A00A730" w14:textId="77777777" w:rsidR="007F1969" w:rsidRDefault="00000000">
      <w:pPr>
        <w:spacing w:after="480" w:line="252" w:lineRule="auto"/>
        <w:jc w:val="center"/>
      </w:pPr>
      <w:r>
        <w:rPr>
          <w:b/>
          <w:sz w:val="32"/>
        </w:rPr>
        <w:t>Assistance à maîtrise d’ouvrage pour le service inter-régimes « Marel »</w:t>
      </w:r>
    </w:p>
    <w:p w14:paraId="461ABD2B" w14:textId="77777777" w:rsidR="007F1969" w:rsidRDefault="00000000">
      <w:pPr>
        <w:spacing w:after="80" w:line="252" w:lineRule="auto"/>
        <w:jc w:val="center"/>
      </w:pPr>
      <w:r>
        <w:rPr>
          <w:sz w:val="26"/>
        </w:rPr>
        <w:t>Dossier de candidature FASTOR GIE / TILENCIA</w:t>
      </w:r>
    </w:p>
    <w:p w14:paraId="0AD80792" w14:textId="77777777" w:rsidR="007F1969" w:rsidRDefault="00000000">
      <w:pPr>
        <w:spacing w:after="80" w:line="252" w:lineRule="auto"/>
        <w:jc w:val="center"/>
      </w:pPr>
      <w:r>
        <w:rPr>
          <w:b/>
          <w:color w:val="C00000"/>
          <w:sz w:val="28"/>
        </w:rPr>
        <w:t>Trigramme candidat : ZAS</w:t>
      </w:r>
    </w:p>
    <w:p w14:paraId="1CA72390" w14:textId="57FA3A37" w:rsidR="007F1969" w:rsidRDefault="00000000">
      <w:pPr>
        <w:spacing w:after="80" w:line="252" w:lineRule="auto"/>
        <w:jc w:val="center"/>
      </w:pPr>
      <w:r>
        <w:rPr>
          <w:i/>
          <w:sz w:val="26"/>
        </w:rPr>
        <w:t>Profil proposé : Consultante AMOA senior retraite / protection sociale</w:t>
      </w:r>
      <w:r w:rsidR="00CB5C14">
        <w:rPr>
          <w:i/>
          <w:sz w:val="26"/>
        </w:rPr>
        <w:t xml:space="preserve"> experte flus Agirc Arrco</w:t>
      </w:r>
    </w:p>
    <w:p w14:paraId="530C15A4" w14:textId="77777777" w:rsidR="007F1969" w:rsidRDefault="00000000">
      <w:r>
        <w:br w:type="page"/>
      </w:r>
    </w:p>
    <w:p w14:paraId="11A7159D" w14:textId="77777777" w:rsidR="007F1969" w:rsidRDefault="00000000">
      <w:pPr>
        <w:keepNext/>
        <w:spacing w:after="200" w:line="252" w:lineRule="auto"/>
      </w:pPr>
      <w:r>
        <w:rPr>
          <w:b/>
          <w:sz w:val="36"/>
        </w:rPr>
        <w:lastRenderedPageBreak/>
        <w:t>Table des matières</w:t>
      </w:r>
    </w:p>
    <w:p w14:paraId="51F4E420" w14:textId="77777777" w:rsidR="007F1969" w:rsidRDefault="00000000">
      <w:pPr>
        <w:spacing w:after="80"/>
      </w:pPr>
      <w:r>
        <w:t>I – Compréhension du sujet et enjeux ............................................ 3</w:t>
      </w:r>
    </w:p>
    <w:p w14:paraId="3AE09364" w14:textId="77777777" w:rsidR="007F1969" w:rsidRDefault="00000000">
      <w:pPr>
        <w:spacing w:after="80"/>
      </w:pPr>
      <w:r>
        <w:t>II – Qui sommes-nous et nos engagements ......................................... 4</w:t>
      </w:r>
    </w:p>
    <w:p w14:paraId="54832F28" w14:textId="77777777" w:rsidR="007F1969" w:rsidRDefault="00000000">
      <w:pPr>
        <w:spacing w:after="80"/>
      </w:pPr>
      <w:r>
        <w:t>III – Notre réponse ............................................................. 4</w:t>
      </w:r>
    </w:p>
    <w:p w14:paraId="47B4E47A" w14:textId="77777777" w:rsidR="007F1969" w:rsidRDefault="00000000">
      <w:pPr>
        <w:spacing w:after="80"/>
      </w:pPr>
      <w:r>
        <w:t>1. Pilotage et Gouvernance ...................................................... 4</w:t>
      </w:r>
    </w:p>
    <w:p w14:paraId="01ADF916" w14:textId="77777777" w:rsidR="007F1969" w:rsidRDefault="00000000">
      <w:pPr>
        <w:spacing w:after="80"/>
      </w:pPr>
      <w:r>
        <w:t>2. Réponse technique ............................................................ 5</w:t>
      </w:r>
    </w:p>
    <w:p w14:paraId="0A396F87" w14:textId="77777777" w:rsidR="007F1969" w:rsidRDefault="00000000">
      <w:pPr>
        <w:spacing w:after="80"/>
      </w:pPr>
      <w:r>
        <w:t>3. Équipe type .................................................................. 6</w:t>
      </w:r>
    </w:p>
    <w:p w14:paraId="587839CD" w14:textId="77777777" w:rsidR="007F1969" w:rsidRDefault="00000000">
      <w:pPr>
        <w:spacing w:after="80"/>
      </w:pPr>
      <w:r>
        <w:t>4. Planning prévisionnel ........................................................ 6</w:t>
      </w:r>
    </w:p>
    <w:p w14:paraId="174E614E" w14:textId="77777777" w:rsidR="007F1969" w:rsidRDefault="00000000">
      <w:pPr>
        <w:spacing w:after="80"/>
      </w:pPr>
      <w:r>
        <w:t>5. Livrables .................................................................... 6</w:t>
      </w:r>
    </w:p>
    <w:p w14:paraId="34F7B0D9" w14:textId="77777777" w:rsidR="007F1969" w:rsidRDefault="00000000">
      <w:pPr>
        <w:spacing w:after="80"/>
      </w:pPr>
      <w:r>
        <w:t>IV – Nos Références ............................................................. 7</w:t>
      </w:r>
    </w:p>
    <w:p w14:paraId="1D484190" w14:textId="77777777" w:rsidR="007F1969" w:rsidRDefault="007F1969">
      <w:pPr>
        <w:spacing w:after="240" w:line="252" w:lineRule="auto"/>
      </w:pPr>
    </w:p>
    <w:p w14:paraId="7807E4C9" w14:textId="77777777" w:rsidR="007F1969" w:rsidRDefault="00000000">
      <w:pPr>
        <w:spacing w:after="80" w:line="252" w:lineRule="auto"/>
      </w:pPr>
      <w:r>
        <w:rPr>
          <w:b/>
          <w:sz w:val="26"/>
        </w:rPr>
        <w:t>Gouvernance &amp; pilotage</w:t>
      </w:r>
    </w:p>
    <w:p w14:paraId="61E0EB0E" w14:textId="77777777" w:rsidR="007F1969" w:rsidRDefault="00000000">
      <w:pPr>
        <w:spacing w:after="60" w:line="240" w:lineRule="auto"/>
        <w:ind w:left="360"/>
      </w:pPr>
      <w:r>
        <w:t>• Pilotage du marché assuré par FASTOR GIE, mandataire du SAD, avec réunion de lancement et points de pilotage contractuels.</w:t>
      </w:r>
    </w:p>
    <w:p w14:paraId="0CA651A1" w14:textId="77777777" w:rsidR="007F1969" w:rsidRDefault="00000000">
      <w:pPr>
        <w:spacing w:after="60" w:line="240" w:lineRule="auto"/>
        <w:ind w:left="360"/>
      </w:pPr>
      <w:r>
        <w:t>• Gouvernance opérationnelle portée par TILENCIA, en coordination avec FASTOR GIE, pour le suivi des KPI, des engagements et des éventuels points d’alerte.</w:t>
      </w:r>
    </w:p>
    <w:p w14:paraId="63964349" w14:textId="77777777" w:rsidR="007F1969" w:rsidRDefault="00000000">
      <w:pPr>
        <w:spacing w:after="60" w:line="240" w:lineRule="auto"/>
        <w:ind w:left="360"/>
      </w:pPr>
      <w:r>
        <w:t>• Ressource proposée : ZAS, consultante AMOA senior retraite / protection sociale, mobilisée en 1 ETP sur la prestation.</w:t>
      </w:r>
    </w:p>
    <w:p w14:paraId="16A03165" w14:textId="77777777" w:rsidR="007F1969" w:rsidRDefault="00000000">
      <w:r>
        <w:br w:type="page"/>
      </w:r>
    </w:p>
    <w:p w14:paraId="1A93BC6C" w14:textId="77777777" w:rsidR="007F1969" w:rsidRDefault="00000000">
      <w:pPr>
        <w:keepNext/>
        <w:spacing w:after="200" w:line="252" w:lineRule="auto"/>
      </w:pPr>
      <w:r>
        <w:rPr>
          <w:b/>
          <w:sz w:val="36"/>
        </w:rPr>
        <w:lastRenderedPageBreak/>
        <w:t>I – Compréhension du sujet et enjeux</w:t>
      </w:r>
    </w:p>
    <w:p w14:paraId="30B02EB6" w14:textId="77777777" w:rsidR="007F1969" w:rsidRDefault="00000000">
      <w:pPr>
        <w:spacing w:after="120" w:line="252" w:lineRule="auto"/>
      </w:pPr>
      <w:r>
        <w:t>Le marché subséquent porte sur une prestation d’assistance à maîtrise d’ouvrage pour le service inter-régimes « Marel ». Ce service occupe une place structurante dans l’écosystème retraite : il contribue à la restitution, à la simulation et à la compréhension des droits retraite des assurés, en s’appuyant sur des données de carrière provenant de plusieurs acteurs et régimes.</w:t>
      </w:r>
    </w:p>
    <w:p w14:paraId="71FCCDC9" w14:textId="77777777" w:rsidR="007F1969" w:rsidRDefault="00000000">
      <w:pPr>
        <w:spacing w:after="120" w:line="252" w:lineRule="auto"/>
      </w:pPr>
      <w:r>
        <w:t>La mission nécessite donc une double capacité : comprendre les enjeux métier de la retraite complémentaire et des services numériques retraite, tout en sécurisant l’analyse fonctionnelle, les impacts SI, la coordination des parties prenantes et les cycles de qualification.</w:t>
      </w:r>
    </w:p>
    <w:p w14:paraId="0A6F97C7" w14:textId="77777777" w:rsidR="007F1969" w:rsidRDefault="00000000">
      <w:pPr>
        <w:spacing w:after="120" w:line="252" w:lineRule="auto"/>
      </w:pPr>
      <w:r>
        <w:t>Les principaux enjeux identifiés sont les suivants :</w:t>
      </w:r>
    </w:p>
    <w:p w14:paraId="761E553A" w14:textId="77777777" w:rsidR="007F1969" w:rsidRDefault="00000000">
      <w:pPr>
        <w:spacing w:after="60" w:line="240" w:lineRule="auto"/>
        <w:ind w:left="360"/>
      </w:pPr>
      <w:r>
        <w:t>• Garantir la bonne prise en compte des évolutions ou corrections du service, en cohérence avec la trajectoire fonctionnelle et les dépendances SI.</w:t>
      </w:r>
    </w:p>
    <w:p w14:paraId="04B88B29" w14:textId="77777777" w:rsidR="007F1969" w:rsidRDefault="00000000">
      <w:pPr>
        <w:spacing w:after="60" w:line="240" w:lineRule="auto"/>
        <w:ind w:left="360"/>
      </w:pPr>
      <w:r>
        <w:t>• Analyser les impacts des flux, processus, référentiels de données et parcours utilisateurs sur les différentes briques du service.</w:t>
      </w:r>
    </w:p>
    <w:p w14:paraId="36BF4563" w14:textId="77777777" w:rsidR="007F1969" w:rsidRDefault="00000000">
      <w:pPr>
        <w:spacing w:after="60" w:line="240" w:lineRule="auto"/>
        <w:ind w:left="360"/>
      </w:pPr>
      <w:r>
        <w:t>• Produire des livrables AMOA clairs et exploitables : notes de cadrage, expressions de besoin, spécifications fonctionnelles générales, études d’impact, supports d’ateliers et documentation utilisateur.</w:t>
      </w:r>
    </w:p>
    <w:p w14:paraId="62D5C838" w14:textId="77777777" w:rsidR="007F1969" w:rsidRDefault="00000000">
      <w:pPr>
        <w:spacing w:after="60" w:line="240" w:lineRule="auto"/>
        <w:ind w:left="360"/>
      </w:pPr>
      <w:r>
        <w:t>• Contribuer à la qualification interne et à la recette métier avec les équipes MOE, les métiers et les partenaires, jusqu’au suivi des anomalies et au GO de mise en production.</w:t>
      </w:r>
    </w:p>
    <w:p w14:paraId="3E6F03B4" w14:textId="77777777" w:rsidR="007F1969" w:rsidRDefault="00000000">
      <w:pPr>
        <w:spacing w:after="60" w:line="240" w:lineRule="auto"/>
        <w:ind w:left="360"/>
      </w:pPr>
      <w:r>
        <w:t>• Assurer un reporting régulier, précis et synthétique : avancement, risques, alertes, points de vigilance, décisions et actions à sécuriser.</w:t>
      </w:r>
    </w:p>
    <w:p w14:paraId="43EDF7CB" w14:textId="77777777" w:rsidR="007F1969" w:rsidRDefault="00000000">
      <w:pPr>
        <w:spacing w:after="120" w:line="252" w:lineRule="auto"/>
      </w:pPr>
      <w:r>
        <w:t>La candidature ZAS répond fortement à ces enjeux. Son expérience chez Klesia l’a placée au cœur d’un projet de retraite complémentaire nécessitant une interaction régulière entre Klesia, Agirc-Arrco et la MOE pour intégrer les processus Klesia au socle communautaire. Cette expérience lui apporte une connaissance opérationnelle des processus, des circuits de décision, des comités de suivi et des exigences de coordination attendues dans l’environnement Agirc-Arrco.</w:t>
      </w:r>
    </w:p>
    <w:p w14:paraId="1B47F3B3" w14:textId="77777777" w:rsidR="007F1969" w:rsidRDefault="00000000">
      <w:pPr>
        <w:spacing w:after="120" w:line="252" w:lineRule="auto"/>
      </w:pPr>
      <w:r>
        <w:t>ZAS connaît également les contraintes de recette, de migration de données, de décommissionnement de flux retraite et de mise en production en environnement protection sociale. Elle apporte ainsi une posture de référente fonctionnelle immédiatement mobilisable sur les sujets d’analyse, de formalisation et de sécurisation des évolutions.</w:t>
      </w:r>
    </w:p>
    <w:p w14:paraId="325CE269" w14:textId="77777777" w:rsidR="007F1969" w:rsidRDefault="00000000">
      <w:pPr>
        <w:keepNext/>
        <w:spacing w:after="200" w:line="252" w:lineRule="auto"/>
      </w:pPr>
      <w:r>
        <w:rPr>
          <w:b/>
          <w:sz w:val="36"/>
        </w:rPr>
        <w:t>II – Qui sommes-nous et nos engagements</w:t>
      </w:r>
    </w:p>
    <w:p w14:paraId="30669B74" w14:textId="77777777" w:rsidR="007F1969" w:rsidRDefault="00000000">
      <w:pPr>
        <w:spacing w:after="120" w:line="252" w:lineRule="auto"/>
      </w:pPr>
      <w:r>
        <w:t>Créé en décembre 2014, FASTOR GIE a pour vocation de coopter des PME ESN avec pour objectif de pérenniser les relations Grands Comptes tout en respectant les critères de référencement. Ce modèle est plébiscité par les Directions Achats qui y trouvent une sécurité juridique et un choix élargi de prestataires.</w:t>
      </w:r>
    </w:p>
    <w:p w14:paraId="6B668BA7" w14:textId="77777777" w:rsidR="007F1969" w:rsidRDefault="00000000">
      <w:pPr>
        <w:spacing w:after="120" w:line="252" w:lineRule="auto"/>
      </w:pPr>
      <w:r>
        <w:lastRenderedPageBreak/>
        <w:t>La force du GIE repose sur son maillage territorial, sa capacité à mobiliser des expertises ciblées et son modèle de proximité. FASTOR GIE garantit le pilotage contractuel du marché, la qualité de la prestation, le respect des engagements et la fluidité des échanges avec les parties prenantes.</w:t>
      </w:r>
    </w:p>
    <w:p w14:paraId="58086FB1" w14:textId="77777777" w:rsidR="007F1969" w:rsidRDefault="00000000">
      <w:pPr>
        <w:spacing w:after="120" w:line="252" w:lineRule="auto"/>
      </w:pPr>
      <w:r>
        <w:t>TILENCIA intervient dans ce cadre avec une approche de proximité, orientée qualité de delivery et adéquation fine entre le besoin métier et le profil proposé. Notre engagement est de mettre à disposition une ressource immédiatement opérationnelle, disposant d’une expérience avérée en AMOA protection sociale, retraite complémentaire, coordination multi-acteurs et recette métier.</w:t>
      </w:r>
    </w:p>
    <w:p w14:paraId="56B1B40A" w14:textId="77777777" w:rsidR="007F1969" w:rsidRDefault="00000000">
      <w:pPr>
        <w:spacing w:after="120" w:line="252" w:lineRule="auto"/>
      </w:pPr>
      <w:r>
        <w:t>La sélection de ZAS répond à cette exigence : son parcours démontre sa capacité à comprendre un contexte métier complexe, à travailler avec des équipes Agirc-Arrco et des acteurs internes d’IRC, à formaliser les impacts fonctionnels et SI, et à piloter la recette jusqu’à la validation des livrables.</w:t>
      </w:r>
    </w:p>
    <w:p w14:paraId="7A54BC32" w14:textId="77777777" w:rsidR="007F1969" w:rsidRDefault="00000000">
      <w:pPr>
        <w:keepNext/>
        <w:spacing w:after="200" w:line="252" w:lineRule="auto"/>
      </w:pPr>
      <w:r>
        <w:rPr>
          <w:b/>
          <w:sz w:val="36"/>
        </w:rPr>
        <w:t>III – Notre réponse</w:t>
      </w:r>
    </w:p>
    <w:p w14:paraId="1FC4BED4" w14:textId="77777777" w:rsidR="007F1969" w:rsidRDefault="00000000">
      <w:pPr>
        <w:keepNext/>
        <w:spacing w:after="120" w:line="252" w:lineRule="auto"/>
      </w:pPr>
      <w:r>
        <w:rPr>
          <w:b/>
          <w:sz w:val="26"/>
        </w:rPr>
        <w:t>1. Pilotage et Gouvernance</w:t>
      </w:r>
    </w:p>
    <w:p w14:paraId="59D99DCF" w14:textId="77777777" w:rsidR="007F1969" w:rsidRDefault="00000000">
      <w:pPr>
        <w:spacing w:after="120" w:line="252" w:lineRule="auto"/>
      </w:pPr>
      <w:r>
        <w:t>La gouvernance proposée s’inscrit dans une logique simple : sécuriser la prestation, donner de la visibilité et traiter rapidement les points de blocage. FASTOR GIE assure le pilotage contractuel et les points de gouvernance avec le client. TILENCIA assure le suivi opérationnel de la ressource, en lien avec FASTOR GIE, afin de garantir la qualité, la continuité et la réactivité de la prestation.</w:t>
      </w:r>
    </w:p>
    <w:p w14:paraId="0C880364" w14:textId="77777777" w:rsidR="007F1969" w:rsidRDefault="00000000">
      <w:pPr>
        <w:spacing w:after="60" w:line="240" w:lineRule="auto"/>
        <w:ind w:left="360"/>
      </w:pPr>
      <w:r>
        <w:t>• Réunion de lancement : validation du périmètre, des interlocuteurs, du mode de fonctionnement, des rituels et des livrables attendus.</w:t>
      </w:r>
    </w:p>
    <w:p w14:paraId="58F6CA19" w14:textId="77777777" w:rsidR="007F1969" w:rsidRDefault="00000000">
      <w:pPr>
        <w:spacing w:after="60" w:line="240" w:lineRule="auto"/>
        <w:ind w:left="360"/>
      </w:pPr>
      <w:r>
        <w:t>• Comités de suivi opérationnels : avancement, sujets en cours, priorités, risques, alertes et décisions attendues.</w:t>
      </w:r>
    </w:p>
    <w:p w14:paraId="0EB418D2" w14:textId="77777777" w:rsidR="007F1969" w:rsidRDefault="00000000">
      <w:pPr>
        <w:spacing w:after="60" w:line="240" w:lineRule="auto"/>
        <w:ind w:left="360"/>
      </w:pPr>
      <w:r>
        <w:t>• Reporting régulier : synthèse d’activité, points de vigilance, actions à mener, reste à faire et dépendances.</w:t>
      </w:r>
    </w:p>
    <w:p w14:paraId="2E28EDCE" w14:textId="77777777" w:rsidR="007F1969" w:rsidRDefault="00000000">
      <w:pPr>
        <w:spacing w:after="60" w:line="240" w:lineRule="auto"/>
        <w:ind w:left="360"/>
      </w:pPr>
      <w:r>
        <w:t>• Approche méthodologique : cycle en V, agile ou hybride selon la nature des sujets, avec priorisation fonctionnelle, traçabilité des besoins et validation progressive des livrables.</w:t>
      </w:r>
    </w:p>
    <w:p w14:paraId="7337D68B" w14:textId="77777777" w:rsidR="007F1969" w:rsidRDefault="00000000">
      <w:pPr>
        <w:spacing w:after="120" w:line="252" w:lineRule="auto"/>
      </w:pPr>
      <w:r>
        <w:t>ZAS apportera une communication structurée et adaptée aux différents interlocuteurs : métiers retraite, MOE, UX/UI, data, conformité, prestataires et responsables de l’équipe. Son expérience chez Klesia lui permet d’intégrer rapidement les logiques de comités, d’arbitrage et de coordination propres à l’écosystème Agirc-Arrco.</w:t>
      </w:r>
    </w:p>
    <w:p w14:paraId="402E831D" w14:textId="77777777" w:rsidR="007F1969" w:rsidRDefault="00000000">
      <w:pPr>
        <w:keepNext/>
        <w:spacing w:after="120" w:line="252" w:lineRule="auto"/>
      </w:pPr>
      <w:r>
        <w:rPr>
          <w:b/>
          <w:sz w:val="26"/>
        </w:rPr>
        <w:t>2. Réponse technique</w:t>
      </w:r>
    </w:p>
    <w:p w14:paraId="5368C9AC" w14:textId="77777777" w:rsidR="007F1969" w:rsidRDefault="00000000">
      <w:pPr>
        <w:spacing w:after="120" w:line="252" w:lineRule="auto"/>
      </w:pPr>
      <w:r>
        <w:t>Le profil proposé est une consultante AMOA senior, référente fonctionnelle retraite / protection sociale, avec plus de 15 ans d’expérience dont 10 ans dans les environnements assurance et protection sociale. Elle dispose d’une expérience particulièrement pertinente sur la retraite complémentaire, les flux retraite, la relation client retraite, les portails adhérents, les parcours entreprise / individu, les référentiels de données et le CRM PEGA communautaire.</w:t>
      </w:r>
    </w:p>
    <w:p w14:paraId="760DB907" w14:textId="77777777" w:rsidR="007F1969" w:rsidRDefault="00000000">
      <w:pPr>
        <w:spacing w:after="120" w:line="252" w:lineRule="auto"/>
      </w:pPr>
      <w:r>
        <w:lastRenderedPageBreak/>
        <w:t>Sa mission chez Klesia constitue la référence la plus significative pour le présent besoin. Dans le cadre du pilotage de la migration du CRM Selligent vers le socle communautaire CRM PEGA, ZAS a travaillé en interaction entre Klesia, Agirc-Arrco et la MOE afin d’intégrer les processus Klesia au socle commun. Elle a participé aux comités de suivi, contribué à l’alignement entre organisation, processus métier et SI, et accompagné les métiers dans la compréhension des impacts et la validation de la solution.</w:t>
      </w:r>
    </w:p>
    <w:p w14:paraId="078030D1" w14:textId="77777777" w:rsidR="007F1969" w:rsidRDefault="00000000">
      <w:pPr>
        <w:spacing w:after="120" w:line="252" w:lineRule="auto"/>
      </w:pPr>
      <w:r>
        <w:t>Les compétences directement mobilisables sont les suivantes :</w:t>
      </w:r>
    </w:p>
    <w:p w14:paraId="5BDD6B5C" w14:textId="77777777" w:rsidR="007F1969" w:rsidRDefault="00000000">
      <w:pPr>
        <w:spacing w:after="60" w:line="240" w:lineRule="auto"/>
        <w:ind w:left="360"/>
      </w:pPr>
      <w:r>
        <w:t>• Cadrage fonctionnel : interviews métiers, analyse des besoins, faisabilité, use cases, backlog, priorisation et supports de comités.</w:t>
      </w:r>
    </w:p>
    <w:p w14:paraId="586C936B" w14:textId="77777777" w:rsidR="007F1969" w:rsidRDefault="00000000">
      <w:pPr>
        <w:spacing w:after="60" w:line="240" w:lineRule="auto"/>
        <w:ind w:left="360"/>
      </w:pPr>
      <w:r>
        <w:t>• Livrables AMOA : notes de cadrage, expressions de besoin, spécifications fonctionnelles générales, études d’impact, comptes rendus et documentation utilisateur.</w:t>
      </w:r>
    </w:p>
    <w:p w14:paraId="58605865" w14:textId="77777777" w:rsidR="007F1969" w:rsidRDefault="00000000">
      <w:pPr>
        <w:spacing w:after="60" w:line="240" w:lineRule="auto"/>
        <w:ind w:left="360"/>
      </w:pPr>
      <w:r>
        <w:t>• Retraite et protection sociale : flux retraite, relation client retraite, processus IRC, CRM PEGA communautaire, parcours entreprise / individu, action sociale et référentiels de données.</w:t>
      </w:r>
    </w:p>
    <w:p w14:paraId="032C0372" w14:textId="77777777" w:rsidR="007F1969" w:rsidRDefault="00000000">
      <w:pPr>
        <w:spacing w:after="60" w:line="240" w:lineRule="auto"/>
        <w:ind w:left="360"/>
      </w:pPr>
      <w:r>
        <w:t>• Recette métier : cas de test, jeux de données, TNR, suivi anomalies, accompagnement métiers, PV de recette, GO de mise en production et suivi post-déploiement.</w:t>
      </w:r>
    </w:p>
    <w:p w14:paraId="4A8CDD58" w14:textId="77777777" w:rsidR="007F1969" w:rsidRDefault="00000000">
      <w:pPr>
        <w:spacing w:after="60" w:line="240" w:lineRule="auto"/>
        <w:ind w:left="360"/>
      </w:pPr>
      <w:r>
        <w:t>• Coordination multi-acteurs : Agirc-Arrco, Klesia, MOE, métiers, IT, UX/UI, data, conformité, prestataires et utilisateurs finaux.</w:t>
      </w:r>
    </w:p>
    <w:p w14:paraId="191443E7" w14:textId="77777777" w:rsidR="007F1969" w:rsidRDefault="00000000">
      <w:pPr>
        <w:spacing w:after="60" w:line="240" w:lineRule="auto"/>
        <w:ind w:left="360"/>
      </w:pPr>
      <w:r>
        <w:t>• Outils et environnements : CRM PEGA, Power BI, ServiceNow, MantisBT, Azure DevOps, Postman, QlikView, MySQL, Python, Angular, Figma.</w:t>
      </w:r>
    </w:p>
    <w:p w14:paraId="397DB19C" w14:textId="77777777" w:rsidR="007F1969" w:rsidRDefault="00000000">
      <w:pPr>
        <w:spacing w:after="120" w:line="252" w:lineRule="auto"/>
      </w:pPr>
      <w:r>
        <w:t>Certifications et formation : PSPO I - Scrum Product Owner, Certification UX/CX Design, Master Responsable de gestion et développement d’entreprise. Ces éléments renforcent sa capacité à concilier vision produit, parcours utilisateurs, cadrage fonctionnel et pilotage des cycles de validation.</w:t>
      </w:r>
    </w:p>
    <w:p w14:paraId="26138C75" w14:textId="77777777" w:rsidR="007F1969" w:rsidRDefault="00000000">
      <w:pPr>
        <w:keepNext/>
        <w:spacing w:after="120" w:line="252" w:lineRule="auto"/>
      </w:pPr>
      <w:r>
        <w:rPr>
          <w:b/>
          <w:sz w:val="26"/>
        </w:rPr>
        <w:t>3. Équipe type</w:t>
      </w:r>
    </w:p>
    <w:p w14:paraId="570035BA" w14:textId="77777777" w:rsidR="007F1969" w:rsidRDefault="00000000">
      <w:pPr>
        <w:spacing w:after="120" w:line="252" w:lineRule="auto"/>
      </w:pPr>
      <w:r>
        <w:t>Le besoin étant estimé à 1 ETP, l’équipe type repose sur une ressource principale, ZAS, positionnée comme consultante AMOA senior / référente fonctionnelle retraite et protection sociale.</w:t>
      </w:r>
    </w:p>
    <w:p w14:paraId="3E19F683" w14:textId="77777777" w:rsidR="007F1969" w:rsidRDefault="00000000">
      <w:pPr>
        <w:spacing w:after="60" w:line="240" w:lineRule="auto"/>
        <w:ind w:left="360"/>
      </w:pPr>
      <w:r>
        <w:t>• Rôle de ZAS : référente fonctionnelle sur les sujets confiés, analyse des besoins, rédaction des livrables, animation d’ateliers, analyse d’impacts, coordination avec la MOE, contribution à la qualification et pilotage de la recette métier.</w:t>
      </w:r>
    </w:p>
    <w:p w14:paraId="0512E68C" w14:textId="77777777" w:rsidR="007F1969" w:rsidRDefault="00000000">
      <w:pPr>
        <w:spacing w:after="60" w:line="240" w:lineRule="auto"/>
        <w:ind w:left="360"/>
      </w:pPr>
      <w:r>
        <w:t>• Rôle TILENCIA : suivi opérationnel de la prestation, points réguliers avec la ressource, anticipation des risques et remontée des alertes si nécessaire.</w:t>
      </w:r>
    </w:p>
    <w:p w14:paraId="41232C00" w14:textId="77777777" w:rsidR="007F1969" w:rsidRDefault="00000000">
      <w:pPr>
        <w:spacing w:after="60" w:line="240" w:lineRule="auto"/>
        <w:ind w:left="360"/>
      </w:pPr>
      <w:r>
        <w:t>• Rôle FASTOR GIE : pilotage contractuel, gouvernance stratégique et suivi des engagements du marché.</w:t>
      </w:r>
    </w:p>
    <w:p w14:paraId="7D5BDD1B" w14:textId="77777777" w:rsidR="007F1969" w:rsidRDefault="00000000">
      <w:pPr>
        <w:keepNext/>
        <w:spacing w:after="120" w:line="252" w:lineRule="auto"/>
      </w:pPr>
      <w:r>
        <w:rPr>
          <w:b/>
          <w:sz w:val="26"/>
        </w:rPr>
        <w:t>4. Planning prévisionnel</w:t>
      </w:r>
    </w:p>
    <w:p w14:paraId="483E3E3C" w14:textId="77777777" w:rsidR="007F1969" w:rsidRDefault="00000000">
      <w:pPr>
        <w:spacing w:after="120" w:line="252" w:lineRule="auto"/>
      </w:pPr>
      <w:r>
        <w:t>Le planning proposé ci-dessous est indicatif et pourra être ajusté dès la réunion de lancement selon les priorités de la feuille de route et les sujets confiés.</w:t>
      </w:r>
    </w:p>
    <w:p w14:paraId="16E64D28" w14:textId="77777777" w:rsidR="007F1969" w:rsidRDefault="00000000">
      <w:pPr>
        <w:spacing w:after="60" w:line="240" w:lineRule="auto"/>
        <w:ind w:left="360"/>
      </w:pPr>
      <w:r>
        <w:lastRenderedPageBreak/>
        <w:t>• Semaine 1 : prise de connaissance du contexte, des interlocuteurs, de la documentation existante, des processus et de la trajectoire fonctionnelle ; cadrage des rituels de suivi.</w:t>
      </w:r>
    </w:p>
    <w:p w14:paraId="1C2AA457" w14:textId="77777777" w:rsidR="007F1969" w:rsidRDefault="00000000">
      <w:pPr>
        <w:spacing w:after="60" w:line="240" w:lineRule="auto"/>
        <w:ind w:left="360"/>
      </w:pPr>
      <w:r>
        <w:t>• Semaines 2 à 4 : analyse des sujets prioritaires, cartographie des dépendances, préparation des ateliers, identification des impacts SI et formalisation des premiers livrables AMOA.</w:t>
      </w:r>
    </w:p>
    <w:p w14:paraId="2AEF68E9" w14:textId="77777777" w:rsidR="007F1969" w:rsidRDefault="00000000">
      <w:pPr>
        <w:spacing w:after="60" w:line="240" w:lineRule="auto"/>
        <w:ind w:left="360"/>
      </w:pPr>
      <w:r>
        <w:t>• Mois 2 à 3 : animation des ateliers, rédaction ou consolidation des notes de cadrage, expressions de besoin, spécifications fonctionnelles générales et études d’impact ; coordination avec les parties prenantes.</w:t>
      </w:r>
    </w:p>
    <w:p w14:paraId="3D987B2D" w14:textId="77777777" w:rsidR="007F1969" w:rsidRDefault="00000000">
      <w:pPr>
        <w:spacing w:after="60" w:line="240" w:lineRule="auto"/>
        <w:ind w:left="360"/>
      </w:pPr>
      <w:r>
        <w:t>• Au fil de l’eau : préparation des cas de test, jeux de données, contribution à la qualification, suivi des anomalies, arbitrages fonctionnels, PV de recette et GO de mise en production.</w:t>
      </w:r>
    </w:p>
    <w:p w14:paraId="1DBA4098" w14:textId="77777777" w:rsidR="007F1969" w:rsidRDefault="00000000">
      <w:pPr>
        <w:spacing w:after="60" w:line="240" w:lineRule="auto"/>
        <w:ind w:left="360"/>
      </w:pPr>
      <w:r>
        <w:t>• Mensuellement : reporting consolidé, suivi des risques et alertes, mise à jour de la documentation et contribution à l’amélioration continue du service.</w:t>
      </w:r>
    </w:p>
    <w:p w14:paraId="0D4CD97E" w14:textId="77777777" w:rsidR="007F1969" w:rsidRDefault="00000000">
      <w:pPr>
        <w:keepNext/>
        <w:spacing w:after="120" w:line="252" w:lineRule="auto"/>
      </w:pPr>
      <w:r>
        <w:rPr>
          <w:b/>
          <w:sz w:val="26"/>
        </w:rPr>
        <w:t>5. Livrables</w:t>
      </w:r>
    </w:p>
    <w:p w14:paraId="58407B2F" w14:textId="77777777" w:rsidR="007F1969" w:rsidRDefault="00000000">
      <w:pPr>
        <w:spacing w:after="120" w:line="252" w:lineRule="auto"/>
      </w:pPr>
      <w:r>
        <w:t>ZAS pourra produire ou contribuer aux livrables suivants :</w:t>
      </w:r>
    </w:p>
    <w:p w14:paraId="3CC28DB2" w14:textId="77777777" w:rsidR="007F1969" w:rsidRDefault="00000000">
      <w:pPr>
        <w:spacing w:after="60" w:line="240" w:lineRule="auto"/>
        <w:ind w:left="360"/>
      </w:pPr>
      <w:r>
        <w:t>• Notes de cadrage et supports de cadrage fonctionnel.</w:t>
      </w:r>
    </w:p>
    <w:p w14:paraId="0EC2B46B" w14:textId="77777777" w:rsidR="007F1969" w:rsidRDefault="00000000">
      <w:pPr>
        <w:spacing w:after="60" w:line="240" w:lineRule="auto"/>
        <w:ind w:left="360"/>
      </w:pPr>
      <w:r>
        <w:t>• Expressions de besoin et spécifications fonctionnelles générales.</w:t>
      </w:r>
    </w:p>
    <w:p w14:paraId="5E901CAC" w14:textId="77777777" w:rsidR="007F1969" w:rsidRDefault="00000000">
      <w:pPr>
        <w:spacing w:after="60" w:line="240" w:lineRule="auto"/>
        <w:ind w:left="360"/>
      </w:pPr>
      <w:r>
        <w:t>• Études d’impact fonctionnelles et SI, notamment sur les flux, processus, données et interfaces.</w:t>
      </w:r>
    </w:p>
    <w:p w14:paraId="59A8EE57" w14:textId="77777777" w:rsidR="007F1969" w:rsidRDefault="00000000">
      <w:pPr>
        <w:spacing w:after="60" w:line="240" w:lineRule="auto"/>
        <w:ind w:left="360"/>
      </w:pPr>
      <w:r>
        <w:t>• Supports d’ateliers, comptes rendus, relevés de décisions et plans d’actions.</w:t>
      </w:r>
    </w:p>
    <w:p w14:paraId="40CC631C" w14:textId="77777777" w:rsidR="007F1969" w:rsidRDefault="00000000">
      <w:pPr>
        <w:spacing w:after="60" w:line="240" w:lineRule="auto"/>
        <w:ind w:left="360"/>
      </w:pPr>
      <w:r>
        <w:t>• Backlog fonctionnel, priorisation des évolutions et suivi des dépendances.</w:t>
      </w:r>
    </w:p>
    <w:p w14:paraId="7C030B66" w14:textId="77777777" w:rsidR="007F1969" w:rsidRDefault="00000000">
      <w:pPr>
        <w:spacing w:after="60" w:line="240" w:lineRule="auto"/>
        <w:ind w:left="360"/>
      </w:pPr>
      <w:r>
        <w:t>• Plans de recette, cas de test, jeux de données, suivi des anomalies, PV de recette et supports de GO / No GO.</w:t>
      </w:r>
    </w:p>
    <w:p w14:paraId="1BD94D48" w14:textId="77777777" w:rsidR="007F1969" w:rsidRDefault="00000000">
      <w:pPr>
        <w:spacing w:after="60" w:line="240" w:lineRule="auto"/>
        <w:ind w:left="360"/>
      </w:pPr>
      <w:r>
        <w:t>• Documentation utilisateur, documentation projet et éléments de conduite du changement.</w:t>
      </w:r>
    </w:p>
    <w:p w14:paraId="7A767521" w14:textId="77777777" w:rsidR="007F1969" w:rsidRDefault="00000000">
      <w:pPr>
        <w:spacing w:after="60" w:line="240" w:lineRule="auto"/>
        <w:ind w:left="360"/>
      </w:pPr>
      <w:r>
        <w:t>• Tableaux de bord de suivi : avancement, risques, alertes, points de vigilance, KPI et synthèses à destination du management.</w:t>
      </w:r>
    </w:p>
    <w:p w14:paraId="2D78791D" w14:textId="77777777" w:rsidR="007F1969" w:rsidRDefault="00000000">
      <w:pPr>
        <w:keepNext/>
        <w:spacing w:after="200" w:line="252" w:lineRule="auto"/>
      </w:pPr>
      <w:r>
        <w:rPr>
          <w:b/>
          <w:sz w:val="36"/>
        </w:rPr>
        <w:t>IV – Nos Références</w:t>
      </w:r>
    </w:p>
    <w:p w14:paraId="01CB0669" w14:textId="77777777" w:rsidR="007F1969" w:rsidRDefault="00000000">
      <w:pPr>
        <w:keepNext/>
        <w:spacing w:after="120" w:line="252" w:lineRule="auto"/>
      </w:pPr>
      <w:r>
        <w:rPr>
          <w:b/>
          <w:sz w:val="26"/>
        </w:rPr>
        <w:t>Groupe Klesia - 2023 / 2026 - Chef de projet AMOA retraite complémentaire / protection sociale</w:t>
      </w:r>
    </w:p>
    <w:p w14:paraId="64C19873" w14:textId="77777777" w:rsidR="007F1969" w:rsidRDefault="00000000">
      <w:pPr>
        <w:spacing w:after="120" w:line="252" w:lineRule="auto"/>
      </w:pPr>
      <w:r>
        <w:t>Référence principale pour cette mission. ZAS a piloté la migration du CRM Selligent vers le socle communautaire CRM PEGA pour la retraite complémentaire, en interaction entre Klesia, Agirc-Arrco et la MOE. Elle a contribué à l’intégration des processus Klesia au socle communautaire, à l’analyse d’impacts fonctionnels et SI, à la migration de données, au décommissionnement des flux retraite et à la recette métier. Cette mission démontre sa connaissance opérationnelle des processus, des interlocuteurs, des comités et des exigences de coordination dans l’environnement Agirc-Arrco.</w:t>
      </w:r>
    </w:p>
    <w:p w14:paraId="7202575B" w14:textId="77777777" w:rsidR="007F1969" w:rsidRDefault="00000000">
      <w:pPr>
        <w:keepNext/>
        <w:spacing w:after="120" w:line="252" w:lineRule="auto"/>
      </w:pPr>
      <w:r>
        <w:rPr>
          <w:b/>
          <w:sz w:val="26"/>
        </w:rPr>
        <w:lastRenderedPageBreak/>
        <w:t>Mutuelle GSMC - 2026 à date - Chef de projet AMOA protection sociale / parcours adhérents</w:t>
      </w:r>
    </w:p>
    <w:p w14:paraId="5EDE3E42" w14:textId="77777777" w:rsidR="007F1969" w:rsidRDefault="00000000">
      <w:pPr>
        <w:spacing w:after="120" w:line="252" w:lineRule="auto"/>
      </w:pPr>
      <w:r>
        <w:t>Modernisation de solutions applicatives santé, prévoyance et retraite ; cadrage de parcours digitaux, animation d’ateliers métiers / UX/UI / développement, formalisation des spécifications fonctionnelles, priorisation du backlog et repositionnement du portail de services adhérents.</w:t>
      </w:r>
    </w:p>
    <w:p w14:paraId="0F076217" w14:textId="77777777" w:rsidR="007F1969" w:rsidRDefault="00000000">
      <w:pPr>
        <w:keepNext/>
        <w:spacing w:after="120" w:line="252" w:lineRule="auto"/>
      </w:pPr>
      <w:r>
        <w:rPr>
          <w:b/>
          <w:sz w:val="26"/>
        </w:rPr>
        <w:t>AssurOne Group - 2017 / 2023 - Product Owner Leader assurance / parcours clients &amp; selfcare</w:t>
      </w:r>
    </w:p>
    <w:p w14:paraId="294AC65A" w14:textId="77777777" w:rsidR="007F1969" w:rsidRDefault="00000000">
      <w:pPr>
        <w:spacing w:after="120" w:line="252" w:lineRule="auto"/>
      </w:pPr>
      <w:r>
        <w:t>Refonte de tunnels de souscription et d’espaces clients selfcare pour des grands comptes assurance. Animation d’ateliers métiers et techniques, coordination transverse avec architectes, conformité, APIs, paiement, signature électronique et éditique, pilotage de la recette fonctionnelle avec les partenaires assureurs et sécurisation des mises en production.</w:t>
      </w:r>
    </w:p>
    <w:p w14:paraId="34A834CD" w14:textId="77777777" w:rsidR="007F1969" w:rsidRDefault="00000000">
      <w:pPr>
        <w:keepNext/>
        <w:spacing w:after="120" w:line="252" w:lineRule="auto"/>
      </w:pPr>
      <w:r>
        <w:rPr>
          <w:b/>
          <w:sz w:val="26"/>
        </w:rPr>
        <w:t>Cevital / Estée Lauder / SC Johnson - 2007 / 2017 - Chef de projet AMOA transformation groupe, SAP et processus métiers</w:t>
      </w:r>
    </w:p>
    <w:p w14:paraId="33FE689A" w14:textId="77777777" w:rsidR="007F1969" w:rsidRDefault="00000000">
      <w:pPr>
        <w:spacing w:after="120" w:line="252" w:lineRule="auto"/>
      </w:pPr>
      <w:r>
        <w:t>Socle AMOA historique : cadrage, cahiers des charges, workflows, tableaux de bord, documentation utilisateur et conduite du changement.</w:t>
      </w:r>
    </w:p>
    <w:sectPr w:rsidR="007F1969" w:rsidSect="00B9181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3FC96" w14:textId="77777777" w:rsidR="00C80958" w:rsidRDefault="00C80958" w:rsidP="008E07A3">
      <w:pPr>
        <w:spacing w:after="0" w:line="240" w:lineRule="auto"/>
      </w:pPr>
      <w:r>
        <w:separator/>
      </w:r>
    </w:p>
  </w:endnote>
  <w:endnote w:type="continuationSeparator" w:id="0">
    <w:p w14:paraId="22BBE647" w14:textId="77777777" w:rsidR="00C80958" w:rsidRDefault="00C80958" w:rsidP="008E0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890523"/>
      <w:docPartObj>
        <w:docPartGallery w:val="Page Numbers (Bottom of Page)"/>
        <w:docPartUnique/>
      </w:docPartObj>
    </w:sdtPr>
    <w:sdtContent>
      <w:p w14:paraId="29A75A4B" w14:textId="16931C9D" w:rsidR="00F20569" w:rsidRDefault="00F20569">
        <w:pPr>
          <w:pStyle w:val="Pieddepage"/>
          <w:jc w:val="right"/>
        </w:pPr>
        <w:r>
          <w:fldChar w:fldCharType="begin"/>
        </w:r>
        <w:r>
          <w:instrText>PAGE   \* MERGEFORMAT</w:instrText>
        </w:r>
        <w:r>
          <w:fldChar w:fldCharType="separate"/>
        </w:r>
        <w:r>
          <w:t>2</w:t>
        </w:r>
        <w:r>
          <w:fldChar w:fldCharType="end"/>
        </w:r>
      </w:p>
    </w:sdtContent>
  </w:sdt>
  <w:p w14:paraId="7A4C8748" w14:textId="4196F629" w:rsidR="008E07A3" w:rsidRDefault="00F20569">
    <w:pPr>
      <w:pStyle w:val="Pieddepage"/>
    </w:pPr>
    <w:r>
      <w:t>Dossier de candidature FASTOR – ZAS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8AAF9" w14:textId="77777777" w:rsidR="00C80958" w:rsidRDefault="00C80958" w:rsidP="008E07A3">
      <w:pPr>
        <w:spacing w:after="0" w:line="240" w:lineRule="auto"/>
      </w:pPr>
      <w:r>
        <w:separator/>
      </w:r>
    </w:p>
  </w:footnote>
  <w:footnote w:type="continuationSeparator" w:id="0">
    <w:p w14:paraId="147D992C" w14:textId="77777777" w:rsidR="00C80958" w:rsidRDefault="00C80958" w:rsidP="008E0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22E5" w14:textId="24268411" w:rsidR="00437F59" w:rsidRDefault="005C7B88">
    <w:pPr>
      <w:pStyle w:val="En-tte"/>
    </w:pPr>
    <w:r>
      <w:rPr>
        <w:noProof/>
      </w:rPr>
      <w:drawing>
        <wp:anchor distT="0" distB="0" distL="114300" distR="114300" simplePos="0" relativeHeight="251661312" behindDoc="1" locked="0" layoutInCell="1" allowOverlap="1" wp14:anchorId="52C3491E" wp14:editId="080DF199">
          <wp:simplePos x="0" y="0"/>
          <wp:positionH relativeFrom="margin">
            <wp:align>left</wp:align>
          </wp:positionH>
          <wp:positionV relativeFrom="paragraph">
            <wp:posOffset>-430530</wp:posOffset>
          </wp:positionV>
          <wp:extent cx="1476375" cy="811530"/>
          <wp:effectExtent l="0" t="0" r="0" b="0"/>
          <wp:wrapTight wrapText="bothSides">
            <wp:wrapPolygon edited="0">
              <wp:start x="8361" y="4056"/>
              <wp:lineTo x="2508" y="6592"/>
              <wp:lineTo x="1394" y="8113"/>
              <wp:lineTo x="1394" y="14704"/>
              <wp:lineTo x="15608" y="19268"/>
              <wp:lineTo x="19510" y="19268"/>
              <wp:lineTo x="20625" y="8620"/>
              <wp:lineTo x="18395" y="7099"/>
              <wp:lineTo x="10591" y="4056"/>
              <wp:lineTo x="8361" y="4056"/>
            </wp:wrapPolygon>
          </wp:wrapTight>
          <wp:docPr id="20129092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09261" name="Image 2012909261"/>
                  <pic:cNvPicPr/>
                </pic:nvPicPr>
                <pic:blipFill>
                  <a:blip r:embed="rId1">
                    <a:extLst>
                      <a:ext uri="{28A0092B-C50C-407E-A947-70E740481C1C}">
                        <a14:useLocalDpi xmlns:a14="http://schemas.microsoft.com/office/drawing/2010/main" val="0"/>
                      </a:ext>
                    </a:extLst>
                  </a:blip>
                  <a:stretch>
                    <a:fillRect/>
                  </a:stretch>
                </pic:blipFill>
                <pic:spPr>
                  <a:xfrm>
                    <a:off x="0" y="0"/>
                    <a:ext cx="1477970" cy="8130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95345EB" wp14:editId="66076094">
          <wp:simplePos x="0" y="0"/>
          <wp:positionH relativeFrom="margin">
            <wp:posOffset>4005580</wp:posOffset>
          </wp:positionH>
          <wp:positionV relativeFrom="paragraph">
            <wp:posOffset>-220980</wp:posOffset>
          </wp:positionV>
          <wp:extent cx="1371600" cy="478790"/>
          <wp:effectExtent l="0" t="0" r="0" b="0"/>
          <wp:wrapTight wrapText="bothSides">
            <wp:wrapPolygon edited="0">
              <wp:start x="0" y="0"/>
              <wp:lineTo x="0" y="20626"/>
              <wp:lineTo x="21300" y="20626"/>
              <wp:lineTo x="21300" y="0"/>
              <wp:lineTo x="0" y="0"/>
            </wp:wrapPolygon>
          </wp:wrapTight>
          <wp:docPr id="7092178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7A3" w:rsidRPr="008E07A3">
      <w:t xml:space="preserve"> </w:t>
    </w:r>
    <w:r w:rsidR="008E07A3">
      <w:t xml:space="preserve">    </w:t>
    </w:r>
    <w:r w:rsidR="00B91811">
      <w:t xml:space="preserve">                                                                                                </w:t>
    </w:r>
    <w:r w:rsidR="008E07A3">
      <w:t xml:space="preserve">        </w:t>
    </w:r>
  </w:p>
  <w:p w14:paraId="2744C7B4" w14:textId="1755AC23" w:rsidR="008E07A3" w:rsidRDefault="008E07A3">
    <w:pPr>
      <w:pStyle w:val="En-tte"/>
    </w:pPr>
    <w:r>
      <w:t xml:space="preserve">          </w:t>
    </w:r>
    <w:r w:rsidR="00B91811">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2C5F"/>
      </v:shape>
    </w:pict>
  </w:numPicBullet>
  <w:abstractNum w:abstractNumId="0" w15:restartNumberingAfterBreak="0">
    <w:nsid w:val="025808BD"/>
    <w:multiLevelType w:val="hybridMultilevel"/>
    <w:tmpl w:val="F5567514"/>
    <w:lvl w:ilvl="0" w:tplc="9C8066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83B7279"/>
    <w:multiLevelType w:val="multilevel"/>
    <w:tmpl w:val="C90C5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8B16FB"/>
    <w:multiLevelType w:val="hybridMultilevel"/>
    <w:tmpl w:val="B484AB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22D0CBC"/>
    <w:multiLevelType w:val="multilevel"/>
    <w:tmpl w:val="8574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11A99"/>
    <w:multiLevelType w:val="multilevel"/>
    <w:tmpl w:val="451A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131A62"/>
    <w:multiLevelType w:val="hybridMultilevel"/>
    <w:tmpl w:val="BE10E2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A43480"/>
    <w:multiLevelType w:val="hybridMultilevel"/>
    <w:tmpl w:val="879AA5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D7E1827"/>
    <w:multiLevelType w:val="hybridMultilevel"/>
    <w:tmpl w:val="34DC6DA8"/>
    <w:lvl w:ilvl="0" w:tplc="497CA8E6">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8240A7"/>
    <w:multiLevelType w:val="multilevel"/>
    <w:tmpl w:val="160AC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D078EC"/>
    <w:multiLevelType w:val="multilevel"/>
    <w:tmpl w:val="A004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B03ED"/>
    <w:multiLevelType w:val="hybridMultilevel"/>
    <w:tmpl w:val="A678F6A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64741291"/>
    <w:multiLevelType w:val="hybridMultilevel"/>
    <w:tmpl w:val="C69E441C"/>
    <w:lvl w:ilvl="0" w:tplc="679EA5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943763"/>
    <w:multiLevelType w:val="hybridMultilevel"/>
    <w:tmpl w:val="239EC2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EE92D5E"/>
    <w:multiLevelType w:val="hybridMultilevel"/>
    <w:tmpl w:val="14DA775E"/>
    <w:lvl w:ilvl="0" w:tplc="934AE790">
      <w:start w:val="3"/>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8E70999"/>
    <w:multiLevelType w:val="hybridMultilevel"/>
    <w:tmpl w:val="D346B87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51363568">
    <w:abstractNumId w:val="12"/>
  </w:num>
  <w:num w:numId="2" w16cid:durableId="411240234">
    <w:abstractNumId w:val="14"/>
  </w:num>
  <w:num w:numId="3" w16cid:durableId="119737226">
    <w:abstractNumId w:val="10"/>
  </w:num>
  <w:num w:numId="4" w16cid:durableId="1977760976">
    <w:abstractNumId w:val="11"/>
  </w:num>
  <w:num w:numId="5" w16cid:durableId="1654290935">
    <w:abstractNumId w:val="6"/>
  </w:num>
  <w:num w:numId="6" w16cid:durableId="1719470845">
    <w:abstractNumId w:val="5"/>
  </w:num>
  <w:num w:numId="7" w16cid:durableId="1292635021">
    <w:abstractNumId w:val="0"/>
  </w:num>
  <w:num w:numId="8" w16cid:durableId="1709528277">
    <w:abstractNumId w:val="2"/>
  </w:num>
  <w:num w:numId="9" w16cid:durableId="1002007016">
    <w:abstractNumId w:val="7"/>
  </w:num>
  <w:num w:numId="10" w16cid:durableId="367797301">
    <w:abstractNumId w:val="13"/>
  </w:num>
  <w:num w:numId="11" w16cid:durableId="1901163406">
    <w:abstractNumId w:val="3"/>
  </w:num>
  <w:num w:numId="12" w16cid:durableId="684013375">
    <w:abstractNumId w:val="8"/>
  </w:num>
  <w:num w:numId="13" w16cid:durableId="829255836">
    <w:abstractNumId w:val="1"/>
  </w:num>
  <w:num w:numId="14" w16cid:durableId="1920826811">
    <w:abstractNumId w:val="9"/>
  </w:num>
  <w:num w:numId="15" w16cid:durableId="45224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7A3"/>
    <w:rsid w:val="00001BEE"/>
    <w:rsid w:val="00044142"/>
    <w:rsid w:val="000934C2"/>
    <w:rsid w:val="000A26C2"/>
    <w:rsid w:val="000A75E0"/>
    <w:rsid w:val="000B43F6"/>
    <w:rsid w:val="00235451"/>
    <w:rsid w:val="002D47AE"/>
    <w:rsid w:val="002D53CB"/>
    <w:rsid w:val="003304C1"/>
    <w:rsid w:val="003547E8"/>
    <w:rsid w:val="003C6F94"/>
    <w:rsid w:val="00437F59"/>
    <w:rsid w:val="00440982"/>
    <w:rsid w:val="005C7757"/>
    <w:rsid w:val="005C7B88"/>
    <w:rsid w:val="00680BEC"/>
    <w:rsid w:val="006D4026"/>
    <w:rsid w:val="00703000"/>
    <w:rsid w:val="00735DC6"/>
    <w:rsid w:val="00766A5B"/>
    <w:rsid w:val="00773B31"/>
    <w:rsid w:val="007E6354"/>
    <w:rsid w:val="007F1969"/>
    <w:rsid w:val="008352D9"/>
    <w:rsid w:val="008E07A3"/>
    <w:rsid w:val="008E1F34"/>
    <w:rsid w:val="0094786C"/>
    <w:rsid w:val="00997F8D"/>
    <w:rsid w:val="00A62EA1"/>
    <w:rsid w:val="00AB71EE"/>
    <w:rsid w:val="00AE7604"/>
    <w:rsid w:val="00B91811"/>
    <w:rsid w:val="00C80958"/>
    <w:rsid w:val="00CB5C14"/>
    <w:rsid w:val="00CC0DE0"/>
    <w:rsid w:val="00CE2BD3"/>
    <w:rsid w:val="00D1055F"/>
    <w:rsid w:val="00DF2D67"/>
    <w:rsid w:val="00E3683D"/>
    <w:rsid w:val="00ED2C01"/>
    <w:rsid w:val="00F20569"/>
    <w:rsid w:val="00F830B8"/>
    <w:rsid w:val="00F943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198D6"/>
  <w15:chartTrackingRefBased/>
  <w15:docId w15:val="{5881C68B-052C-410C-8E18-9FAC8D4C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eastAsia="Aptos" w:hAnsi="Aptos"/>
    </w:rPr>
  </w:style>
  <w:style w:type="paragraph" w:styleId="Titre1">
    <w:name w:val="heading 1"/>
    <w:basedOn w:val="Normal"/>
    <w:next w:val="Normal"/>
    <w:link w:val="Titre1Car"/>
    <w:uiPriority w:val="9"/>
    <w:qFormat/>
    <w:rsid w:val="008E0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E0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E07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E07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07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07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7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7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7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07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07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07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07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07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07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07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07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07A3"/>
    <w:rPr>
      <w:rFonts w:eastAsiaTheme="majorEastAsia" w:cstheme="majorBidi"/>
      <w:color w:val="272727" w:themeColor="text1" w:themeTint="D8"/>
    </w:rPr>
  </w:style>
  <w:style w:type="paragraph" w:styleId="Titre">
    <w:name w:val="Title"/>
    <w:basedOn w:val="Normal"/>
    <w:next w:val="Normal"/>
    <w:link w:val="TitreCar"/>
    <w:uiPriority w:val="10"/>
    <w:qFormat/>
    <w:rsid w:val="008E0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07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07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07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7A3"/>
    <w:pPr>
      <w:spacing w:before="160"/>
      <w:jc w:val="center"/>
    </w:pPr>
    <w:rPr>
      <w:i/>
      <w:iCs/>
      <w:color w:val="404040" w:themeColor="text1" w:themeTint="BF"/>
    </w:rPr>
  </w:style>
  <w:style w:type="character" w:customStyle="1" w:styleId="CitationCar">
    <w:name w:val="Citation Car"/>
    <w:basedOn w:val="Policepardfaut"/>
    <w:link w:val="Citation"/>
    <w:uiPriority w:val="29"/>
    <w:rsid w:val="008E07A3"/>
    <w:rPr>
      <w:i/>
      <w:iCs/>
      <w:color w:val="404040" w:themeColor="text1" w:themeTint="BF"/>
    </w:rPr>
  </w:style>
  <w:style w:type="paragraph" w:styleId="Paragraphedeliste">
    <w:name w:val="List Paragraph"/>
    <w:basedOn w:val="Normal"/>
    <w:uiPriority w:val="34"/>
    <w:qFormat/>
    <w:rsid w:val="008E07A3"/>
    <w:pPr>
      <w:ind w:left="720"/>
      <w:contextualSpacing/>
    </w:pPr>
  </w:style>
  <w:style w:type="character" w:styleId="Accentuationintense">
    <w:name w:val="Intense Emphasis"/>
    <w:basedOn w:val="Policepardfaut"/>
    <w:uiPriority w:val="21"/>
    <w:qFormat/>
    <w:rsid w:val="008E07A3"/>
    <w:rPr>
      <w:i/>
      <w:iCs/>
      <w:color w:val="0F4761" w:themeColor="accent1" w:themeShade="BF"/>
    </w:rPr>
  </w:style>
  <w:style w:type="paragraph" w:styleId="Citationintense">
    <w:name w:val="Intense Quote"/>
    <w:basedOn w:val="Normal"/>
    <w:next w:val="Normal"/>
    <w:link w:val="CitationintenseCar"/>
    <w:uiPriority w:val="30"/>
    <w:qFormat/>
    <w:rsid w:val="008E0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07A3"/>
    <w:rPr>
      <w:i/>
      <w:iCs/>
      <w:color w:val="0F4761" w:themeColor="accent1" w:themeShade="BF"/>
    </w:rPr>
  </w:style>
  <w:style w:type="character" w:styleId="Rfrenceintense">
    <w:name w:val="Intense Reference"/>
    <w:basedOn w:val="Policepardfaut"/>
    <w:uiPriority w:val="32"/>
    <w:qFormat/>
    <w:rsid w:val="008E07A3"/>
    <w:rPr>
      <w:b/>
      <w:bCs/>
      <w:smallCaps/>
      <w:color w:val="0F4761" w:themeColor="accent1" w:themeShade="BF"/>
      <w:spacing w:val="5"/>
    </w:rPr>
  </w:style>
  <w:style w:type="paragraph" w:styleId="En-tte">
    <w:name w:val="header"/>
    <w:basedOn w:val="Normal"/>
    <w:link w:val="En-tteCar"/>
    <w:uiPriority w:val="99"/>
    <w:unhideWhenUsed/>
    <w:rsid w:val="008E07A3"/>
    <w:pPr>
      <w:tabs>
        <w:tab w:val="center" w:pos="4536"/>
        <w:tab w:val="right" w:pos="9072"/>
      </w:tabs>
      <w:spacing w:after="0" w:line="240" w:lineRule="auto"/>
    </w:pPr>
  </w:style>
  <w:style w:type="character" w:customStyle="1" w:styleId="En-tteCar">
    <w:name w:val="En-tête Car"/>
    <w:basedOn w:val="Policepardfaut"/>
    <w:link w:val="En-tte"/>
    <w:uiPriority w:val="99"/>
    <w:rsid w:val="008E07A3"/>
  </w:style>
  <w:style w:type="paragraph" w:styleId="Pieddepage">
    <w:name w:val="footer"/>
    <w:basedOn w:val="Normal"/>
    <w:link w:val="PieddepageCar"/>
    <w:uiPriority w:val="99"/>
    <w:unhideWhenUsed/>
    <w:rsid w:val="008E07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07A3"/>
  </w:style>
  <w:style w:type="paragraph" w:styleId="En-ttedetabledesmatires">
    <w:name w:val="TOC Heading"/>
    <w:basedOn w:val="Titre1"/>
    <w:next w:val="Normal"/>
    <w:uiPriority w:val="39"/>
    <w:unhideWhenUsed/>
    <w:qFormat/>
    <w:rsid w:val="008E1F34"/>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8E1F34"/>
    <w:pPr>
      <w:spacing w:after="100"/>
    </w:pPr>
  </w:style>
  <w:style w:type="character" w:styleId="Lienhypertexte">
    <w:name w:val="Hyperlink"/>
    <w:basedOn w:val="Policepardfaut"/>
    <w:uiPriority w:val="99"/>
    <w:unhideWhenUsed/>
    <w:rsid w:val="008E1F34"/>
    <w:rPr>
      <w:color w:val="467886" w:themeColor="hyperlink"/>
      <w:u w:val="single"/>
    </w:rPr>
  </w:style>
  <w:style w:type="paragraph" w:styleId="TM2">
    <w:name w:val="toc 2"/>
    <w:basedOn w:val="Normal"/>
    <w:next w:val="Normal"/>
    <w:autoRedefine/>
    <w:uiPriority w:val="39"/>
    <w:unhideWhenUsed/>
    <w:rsid w:val="00AB71EE"/>
    <w:pPr>
      <w:spacing w:after="100"/>
      <w:ind w:left="240"/>
    </w:pPr>
  </w:style>
  <w:style w:type="paragraph" w:styleId="TM3">
    <w:name w:val="toc 3"/>
    <w:basedOn w:val="Normal"/>
    <w:next w:val="Normal"/>
    <w:autoRedefine/>
    <w:uiPriority w:val="39"/>
    <w:unhideWhenUsed/>
    <w:rsid w:val="00AB71E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772C1-DAA8-4251-9A96-072D3FD6FD4F}">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BFCC1832-BEEE-404E-838C-4D550C513238}">
  <ds:schemaRefs>
    <ds:schemaRef ds:uri="http://schemas.microsoft.com/sharepoint/v3/contenttype/forms"/>
  </ds:schemaRefs>
</ds:datastoreItem>
</file>

<file path=customXml/itemProps3.xml><?xml version="1.0" encoding="utf-8"?>
<ds:datastoreItem xmlns:ds="http://schemas.openxmlformats.org/officeDocument/2006/customXml" ds:itemID="{E8A9B73B-7E8D-49BF-B301-FFAE0DF3C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DC874-DBC0-45C8-BBFC-1F433A42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2028</Words>
  <Characters>11159</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Oriol</dc:creator>
  <cp:keywords/>
  <dc:description/>
  <cp:lastModifiedBy>David Vandenborght</cp:lastModifiedBy>
  <cp:revision>11</cp:revision>
  <cp:lastPrinted>2025-08-14T09:45:00Z</cp:lastPrinted>
  <dcterms:created xsi:type="dcterms:W3CDTF">2025-07-22T08:22:00Z</dcterms:created>
  <dcterms:modified xsi:type="dcterms:W3CDTF">2026-06-04T07:24:00Z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