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FD40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r w:rsidRPr="0019734D">
        <w:rPr>
          <w:rFonts w:ascii="Aptos" w:eastAsia="Aptos" w:hAnsi="Aptos"/>
          <w:b/>
          <w:bCs/>
          <w:iCs/>
          <w:sz w:val="36"/>
          <w:szCs w:val="48"/>
        </w:rPr>
        <w:t>MARCHÉ SUBS</w:t>
      </w:r>
      <w:r>
        <w:rPr>
          <w:rFonts w:ascii="Aptos" w:eastAsia="Aptos" w:hAnsi="Aptos"/>
          <w:b/>
          <w:bCs/>
          <w:iCs/>
          <w:sz w:val="36"/>
          <w:szCs w:val="48"/>
        </w:rPr>
        <w:t>É</w:t>
      </w:r>
      <w:r w:rsidRPr="0019734D">
        <w:rPr>
          <w:rFonts w:ascii="Aptos" w:eastAsia="Aptos" w:hAnsi="Aptos"/>
          <w:b/>
          <w:bCs/>
          <w:iCs/>
          <w:sz w:val="36"/>
          <w:szCs w:val="48"/>
        </w:rPr>
        <w:t xml:space="preserve">QUENT – </w:t>
      </w:r>
      <w:r>
        <w:rPr>
          <w:rFonts w:ascii="Aptos" w:eastAsia="Aptos" w:hAnsi="Aptos"/>
          <w:b/>
          <w:bCs/>
          <w:iCs/>
          <w:sz w:val="36"/>
          <w:szCs w:val="48"/>
        </w:rPr>
        <w:t>2026-02-SAD-022</w:t>
      </w:r>
    </w:p>
    <w:p w14:paraId="48BB70DE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r w:rsidRPr="0019734D">
        <w:rPr>
          <w:rFonts w:ascii="Aptos" w:eastAsia="Aptos" w:hAnsi="Aptos"/>
          <w:b/>
          <w:bCs/>
          <w:iCs/>
          <w:sz w:val="36"/>
          <w:szCs w:val="48"/>
        </w:rPr>
        <w:t xml:space="preserve">Annexe à l'acte d'engagement, </w:t>
      </w:r>
    </w:p>
    <w:p w14:paraId="59E5CEB6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proofErr w:type="gramStart"/>
      <w:r w:rsidRPr="0019734D">
        <w:rPr>
          <w:rFonts w:ascii="Aptos" w:eastAsia="Aptos" w:hAnsi="Aptos"/>
          <w:b/>
          <w:bCs/>
          <w:iCs/>
          <w:sz w:val="36"/>
          <w:szCs w:val="48"/>
        </w:rPr>
        <w:t>à</w:t>
      </w:r>
      <w:proofErr w:type="gramEnd"/>
      <w:r w:rsidRPr="0019734D">
        <w:rPr>
          <w:rFonts w:ascii="Aptos" w:eastAsia="Aptos" w:hAnsi="Aptos"/>
          <w:b/>
          <w:bCs/>
          <w:iCs/>
          <w:sz w:val="36"/>
          <w:szCs w:val="48"/>
        </w:rPr>
        <w:t xml:space="preserve"> renseigner par les soumissionnaires</w:t>
      </w:r>
    </w:p>
    <w:p w14:paraId="603802B1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</w:p>
    <w:p w14:paraId="5FCC33B0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r w:rsidRPr="0019734D">
        <w:rPr>
          <w:rFonts w:ascii="Aptos" w:eastAsia="Aptos" w:hAnsi="Aptos"/>
          <w:b/>
          <w:bCs/>
          <w:iCs/>
          <w:sz w:val="36"/>
          <w:szCs w:val="48"/>
        </w:rPr>
        <w:t>Description / tarif des profils proposés</w:t>
      </w:r>
    </w:p>
    <w:p w14:paraId="37E7DCA7" w14:textId="77777777" w:rsidR="00CF2A52" w:rsidRPr="00906381" w:rsidRDefault="00CF2A52" w:rsidP="00CF2A52">
      <w:pPr>
        <w:rPr>
          <w:bCs/>
          <w:sz w:val="20"/>
          <w:szCs w:val="20"/>
        </w:rPr>
      </w:pPr>
    </w:p>
    <w:p w14:paraId="5508B3DB" w14:textId="77777777" w:rsidR="00CF2A52" w:rsidRPr="00906381" w:rsidRDefault="00CF2A52" w:rsidP="00CF2A52">
      <w:pPr>
        <w:rPr>
          <w:bCs/>
          <w:sz w:val="20"/>
          <w:szCs w:val="20"/>
        </w:rPr>
      </w:pPr>
      <w:r w:rsidRPr="00906381">
        <w:rPr>
          <w:rFonts w:ascii="Aptos" w:eastAsia="Aptos" w:hAnsi="Aptos"/>
          <w:bCs/>
          <w:sz w:val="20"/>
          <w:szCs w:val="20"/>
        </w:rPr>
        <w:t>Les informations demandées doivent être précisées pour chaque ressource proposée, accompagnées de la description du profil type proposé.</w:t>
      </w:r>
      <w:r w:rsidRPr="00906381">
        <w:rPr>
          <w:rFonts w:ascii="Aptos" w:eastAsia="Aptos" w:hAnsi="Aptos"/>
          <w:sz w:val="20"/>
          <w:szCs w:val="20"/>
        </w:rPr>
        <w:t xml:space="preserve"> </w:t>
      </w:r>
      <w:r w:rsidRPr="00906381">
        <w:rPr>
          <w:rFonts w:ascii="Aptos" w:eastAsia="Aptos" w:hAnsi="Aptos"/>
          <w:bCs/>
          <w:sz w:val="20"/>
          <w:szCs w:val="20"/>
        </w:rPr>
        <w:t>Le soumissionnaire est tenu par les caractéristiques techniques et tarifaires de son offre remise en réponse à l’appel d’offres, ayant conduit à le référencer dans l’accord-cadre.</w:t>
      </w:r>
    </w:p>
    <w:p w14:paraId="49E8B372" w14:textId="77777777" w:rsidR="00CF2A52" w:rsidRPr="00906381" w:rsidRDefault="00CF2A52" w:rsidP="00CF2A52">
      <w:pPr>
        <w:rPr>
          <w:b/>
          <w:bCs/>
          <w:i/>
          <w:iCs/>
          <w:sz w:val="20"/>
          <w:szCs w:val="20"/>
        </w:rPr>
      </w:pPr>
      <w:r w:rsidRPr="00906381">
        <w:rPr>
          <w:rFonts w:ascii="Aptos" w:eastAsia="Aptos" w:hAnsi="Aptos"/>
          <w:bCs/>
          <w:sz w:val="20"/>
          <w:szCs w:val="20"/>
        </w:rPr>
        <w:t xml:space="preserve">En fonction des prestations définies dans le document Marché subséquent, le besoin associé à la réalisation de cette prestation est estimé par le pouvoir adjudicateur à </w:t>
      </w:r>
      <w:r w:rsidRPr="00A66E91">
        <w:rPr>
          <w:rFonts w:ascii="Aptos" w:eastAsia="Aptos" w:hAnsi="Aptos"/>
          <w:b/>
          <w:sz w:val="20"/>
          <w:szCs w:val="20"/>
        </w:rPr>
        <w:t>1 ETP</w:t>
      </w:r>
      <w:r>
        <w:rPr>
          <w:rFonts w:ascii="Aptos" w:eastAsia="Aptos" w:hAnsi="Aptos"/>
          <w:bCs/>
          <w:sz w:val="20"/>
          <w:szCs w:val="20"/>
        </w:rPr>
        <w:t>.</w:t>
      </w:r>
    </w:p>
    <w:p w14:paraId="7F3902EA" w14:textId="77777777" w:rsidR="00CF2A52" w:rsidRPr="00D27E63" w:rsidRDefault="00CF2A52" w:rsidP="00CF2A52">
      <w:pPr>
        <w:pStyle w:val="fcasegauche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4931B76E" w14:textId="77777777" w:rsidR="00CF2A52" w:rsidRPr="00D27E63" w:rsidRDefault="00CF2A52" w:rsidP="00CF2A52">
      <w:pPr>
        <w:pStyle w:val="fcase2metab"/>
        <w:spacing w:after="120"/>
        <w:rPr>
          <w:rFonts w:ascii="Arial" w:hAnsi="Arial" w:cs="Arial"/>
          <w:sz w:val="22"/>
          <w:szCs w:val="22"/>
          <w:u w:val="single"/>
        </w:rPr>
      </w:pPr>
      <w:r w:rsidRPr="00D27E63">
        <w:rPr>
          <w:rFonts w:ascii="Aptos" w:eastAsia="Aptos" w:hAnsi="Aptos" w:cs="Arial"/>
          <w:b/>
          <w:bCs/>
          <w:sz w:val="22"/>
          <w:szCs w:val="22"/>
          <w:u w:val="single"/>
        </w:rPr>
        <w:t>Coordonnées du « responsable de la mission »</w:t>
      </w:r>
    </w:p>
    <w:p w14:paraId="1356CA82" w14:textId="77777777" w:rsidR="00CF2A52" w:rsidRPr="00D27E63" w:rsidRDefault="00CF2A52" w:rsidP="00CF2A52">
      <w:pPr>
        <w:rPr>
          <w:b/>
          <w:bCs/>
        </w:rPr>
      </w:pPr>
      <w:r>
        <w:rPr>
          <w:rFonts w:ascii="Aptos" w:eastAsia="Aptos" w:hAnsi="Aptos"/>
        </w:rPr>
        <w:t>Prénom Nom : David Vandenborght – TILENCIA / FASTOR GIE</w:t>
      </w:r>
    </w:p>
    <w:p w14:paraId="03A3A503" w14:textId="21D94163" w:rsidR="00CF2A52" w:rsidRPr="00D27E63" w:rsidRDefault="00CF2A52" w:rsidP="00CF2A52">
      <w:pPr>
        <w:rPr>
          <w:b/>
          <w:bCs/>
        </w:rPr>
      </w:pPr>
      <w:r>
        <w:rPr>
          <w:rFonts w:ascii="Aptos" w:eastAsia="Aptos" w:hAnsi="Aptos"/>
        </w:rPr>
        <w:t xml:space="preserve">Téléphone : </w:t>
      </w:r>
      <w:r w:rsidR="00017CF1">
        <w:rPr>
          <w:rFonts w:ascii="Aptos" w:eastAsia="Aptos" w:hAnsi="Aptos"/>
        </w:rPr>
        <w:t>06 82 60 17 01</w:t>
      </w:r>
    </w:p>
    <w:p w14:paraId="37FE1804" w14:textId="5ADA4ADC" w:rsidR="00CF2A52" w:rsidRPr="00D27E63" w:rsidRDefault="00CF2A52" w:rsidP="00CF2A52">
      <w:pPr>
        <w:rPr>
          <w:b/>
          <w:bCs/>
        </w:rPr>
      </w:pPr>
      <w:proofErr w:type="gramStart"/>
      <w:r>
        <w:rPr>
          <w:rFonts w:ascii="Aptos" w:eastAsia="Aptos" w:hAnsi="Aptos"/>
        </w:rPr>
        <w:t>courriel</w:t>
      </w:r>
      <w:proofErr w:type="gramEnd"/>
      <w:r>
        <w:rPr>
          <w:rFonts w:ascii="Aptos" w:eastAsia="Aptos" w:hAnsi="Aptos"/>
        </w:rPr>
        <w:t xml:space="preserve"> : </w:t>
      </w:r>
      <w:r w:rsidR="00017CF1">
        <w:rPr>
          <w:rFonts w:ascii="Aptos" w:eastAsia="Aptos" w:hAnsi="Aptos"/>
        </w:rPr>
        <w:t>david.vandenborght@tilencia.com</w:t>
      </w:r>
    </w:p>
    <w:p w14:paraId="29EC2693" w14:textId="77777777" w:rsidR="00CF2A52" w:rsidRPr="00906381" w:rsidRDefault="00CF2A52" w:rsidP="00CF2A52">
      <w:pPr>
        <w:tabs>
          <w:tab w:val="left" w:pos="3402"/>
          <w:tab w:val="left" w:pos="6237"/>
          <w:tab w:val="left" w:pos="9072"/>
        </w:tabs>
        <w:spacing w:before="240"/>
        <w:rPr>
          <w:sz w:val="20"/>
          <w:szCs w:val="20"/>
        </w:rPr>
      </w:pPr>
    </w:p>
    <w:p w14:paraId="63909610" w14:textId="77777777" w:rsidR="00CF2A52" w:rsidRPr="0019734D" w:rsidRDefault="00CF2A52" w:rsidP="00CF2A52">
      <w:pPr>
        <w:spacing w:after="80"/>
        <w:rPr>
          <w:bCs/>
        </w:rPr>
      </w:pPr>
      <w:r>
        <w:rPr>
          <w:rFonts w:ascii="Aptos" w:eastAsia="Aptos" w:hAnsi="Aptos"/>
          <w:bCs/>
        </w:rPr>
        <w:t>La</w:t>
      </w:r>
      <w:r w:rsidRPr="0019734D">
        <w:rPr>
          <w:rFonts w:ascii="Aptos" w:eastAsia="Aptos" w:hAnsi="Aptos"/>
          <w:bCs/>
        </w:rPr>
        <w:t xml:space="preserve"> description des profils types de chaque intervenant pressenti </w:t>
      </w:r>
      <w:r>
        <w:rPr>
          <w:rFonts w:ascii="Aptos" w:eastAsia="Aptos" w:hAnsi="Aptos"/>
          <w:bCs/>
        </w:rPr>
        <w:t>est présentée ci-dessous</w:t>
      </w:r>
      <w:r w:rsidRPr="0019734D">
        <w:rPr>
          <w:rFonts w:ascii="Aptos" w:eastAsia="Aptos" w:hAnsi="Aptos"/>
          <w:bCs/>
        </w:rPr>
        <w:t>.</w:t>
      </w:r>
    </w:p>
    <w:p w14:paraId="3CD9DAA6" w14:textId="77777777" w:rsidR="00CF2A52" w:rsidRPr="00C83C1E" w:rsidRDefault="00CF2A52" w:rsidP="00CF2A52">
      <w:pPr>
        <w:spacing w:before="0" w:after="0"/>
        <w:rPr>
          <w:bCs/>
          <w:sz w:val="10"/>
          <w:szCs w:val="1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10"/>
        <w:gridCol w:w="5085"/>
      </w:tblGrid>
      <w:tr w:rsidR="00CF2A52" w:rsidRPr="0019734D" w14:paraId="1EEBE8D7" w14:textId="77777777" w:rsidTr="00812C8A">
        <w:trPr>
          <w:jc w:val="center"/>
        </w:trPr>
        <w:tc>
          <w:tcPr>
            <w:tcW w:w="5110" w:type="dxa"/>
          </w:tcPr>
          <w:p w14:paraId="0CA5EF4B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sz w:val="24"/>
                <w:szCs w:val="24"/>
              </w:rPr>
            </w:pPr>
            <w:r w:rsidRPr="0019734D">
              <w:rPr>
                <w:rFonts w:ascii="Berlin Sans FB" w:hAnsi="Berlin Sans FB"/>
                <w:sz w:val="24"/>
                <w:szCs w:val="24"/>
              </w:rPr>
              <w:t>Date de disponibilité de l’équipe :</w:t>
            </w:r>
          </w:p>
          <w:p w14:paraId="54D9D3AE" w14:textId="77777777" w:rsidR="00CF2A52" w:rsidRPr="0019734D" w:rsidRDefault="00CF2A52" w:rsidP="00812C8A">
            <w:pPr>
              <w:spacing w:after="80"/>
              <w:rPr>
                <w:bCs/>
              </w:rPr>
            </w:pPr>
            <w:r w:rsidRPr="0019734D">
              <w:t>(</w:t>
            </w:r>
            <w:proofErr w:type="gramStart"/>
            <w:r w:rsidRPr="0019734D">
              <w:t>sachant</w:t>
            </w:r>
            <w:proofErr w:type="gramEnd"/>
            <w:r w:rsidRPr="0019734D">
              <w:t xml:space="preserve"> que le besoin est exprimé avec une date de mise en œuvre </w:t>
            </w:r>
            <w:r>
              <w:t>1</w:t>
            </w:r>
            <w:r w:rsidRPr="00631612">
              <w:rPr>
                <w:vertAlign w:val="superscript"/>
              </w:rPr>
              <w:t>er</w:t>
            </w:r>
            <w:r>
              <w:t xml:space="preserve"> juillet 2026).</w:t>
            </w:r>
          </w:p>
        </w:tc>
        <w:tc>
          <w:tcPr>
            <w:tcW w:w="5085" w:type="dxa"/>
          </w:tcPr>
          <w:p w14:paraId="0A86754A" w14:textId="77777777" w:rsidR="001D4F22" w:rsidRDefault="00000000">
            <w:r>
              <w:t>01/07/2026 – disponibilité confirmée pour une intervention 5 jours par semaine, avec présence sur site à Paris selon les modalités attendues.</w:t>
            </w:r>
          </w:p>
        </w:tc>
      </w:tr>
    </w:tbl>
    <w:p w14:paraId="5B505167" w14:textId="77777777" w:rsidR="00CF2A52" w:rsidRPr="00906381" w:rsidRDefault="00CF2A52" w:rsidP="00CF2A52">
      <w:pPr>
        <w:spacing w:after="80"/>
        <w:rPr>
          <w:bCs/>
          <w:sz w:val="20"/>
          <w:szCs w:val="20"/>
        </w:rPr>
      </w:pPr>
    </w:p>
    <w:p w14:paraId="334FB955" w14:textId="77777777" w:rsidR="00CF2A52" w:rsidRPr="0019734D" w:rsidRDefault="00CF2A52" w:rsidP="00CF2A52">
      <w:pPr>
        <w:numPr>
          <w:ilvl w:val="2"/>
          <w:numId w:val="1"/>
        </w:numPr>
        <w:tabs>
          <w:tab w:val="clear" w:pos="2160"/>
        </w:tabs>
        <w:spacing w:before="0" w:after="80"/>
        <w:ind w:left="567" w:hanging="567"/>
        <w:rPr>
          <w:bCs/>
          <w:sz w:val="26"/>
          <w:szCs w:val="26"/>
        </w:rPr>
      </w:pPr>
      <w:r>
        <w:rPr>
          <w:rFonts w:ascii="Aptos" w:eastAsia="Aptos" w:hAnsi="Aptos"/>
          <w:b/>
        </w:rPr>
        <w:t>Profil proposé pour la prestation : OHU – Consultant AMOA senior / Agirc-Arrco – Bureau Central</w:t>
      </w:r>
    </w:p>
    <w:p w14:paraId="1485AE59" w14:textId="77777777" w:rsidR="00CF2A52" w:rsidRPr="0019734D" w:rsidRDefault="00CF2A52" w:rsidP="00CF2A52">
      <w:pPr>
        <w:ind w:left="567"/>
        <w:rPr>
          <w:bCs/>
          <w:sz w:val="10"/>
          <w:szCs w:val="1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087"/>
      </w:tblGrid>
      <w:tr w:rsidR="00CF2A52" w:rsidRPr="0019734D" w14:paraId="3FBF26B6" w14:textId="77777777" w:rsidTr="00812C8A">
        <w:trPr>
          <w:jc w:val="center"/>
        </w:trPr>
        <w:tc>
          <w:tcPr>
            <w:tcW w:w="5108" w:type="dxa"/>
          </w:tcPr>
          <w:p w14:paraId="677E5636" w14:textId="240D4F23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t xml:space="preserve">Expérience fonctionnelle </w:t>
            </w:r>
            <w:r w:rsidR="002077F0"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t xml:space="preserve">en </w:t>
            </w:r>
            <w:r w:rsidR="002077F0">
              <w:rPr>
                <w:rFonts w:ascii="Aptos" w:eastAsia="Aptos" w:hAnsi="Aptos"/>
                <w:b/>
                <w:bCs/>
                <w:sz w:val="20"/>
                <w:szCs w:val="24"/>
              </w:rPr>
              <w:t>Nombre</w:t>
            </w:r>
            <w:r w:rsidR="002077F0"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t xml:space="preserve"> d’années d’expérience</w:t>
            </w:r>
          </w:p>
        </w:tc>
        <w:tc>
          <w:tcPr>
            <w:tcW w:w="5087" w:type="dxa"/>
          </w:tcPr>
          <w:p w14:paraId="67D358B3" w14:textId="77777777" w:rsidR="002077F0" w:rsidRDefault="002077F0">
            <w:pPr>
              <w:rPr>
                <w:rFonts w:ascii="Aptos" w:eastAsia="Aptos" w:hAnsi="Aptos"/>
                <w:sz w:val="20"/>
              </w:rPr>
            </w:pPr>
            <w:r>
              <w:rPr>
                <w:rFonts w:ascii="Aptos" w:eastAsia="Aptos" w:hAnsi="Aptos"/>
                <w:sz w:val="20"/>
              </w:rPr>
              <w:t>27 ans d’expérience globale en SI, AMOA, recette et pilotage fonctionnel, dont 5 ans sur le périmètre retraite complémentaire Agirc-Arrco / Usine Retraite / ALLURE et plusieurs missions récentes en protection sociale (CNAM, PRO BTP, MGEN, CIPAV, GIP-MDS).</w:t>
            </w:r>
          </w:p>
          <w:p w14:paraId="634E4B22" w14:textId="11E06019" w:rsidR="001D4F22" w:rsidRDefault="00000000">
            <w:r>
              <w:rPr>
                <w:rFonts w:ascii="Aptos" w:eastAsia="Aptos" w:hAnsi="Aptos"/>
                <w:sz w:val="20"/>
              </w:rPr>
              <w:t>AMOA opérationnelle en environnement Agirc-Arrco / retraite complémentaire, Usine Retraite / ALLURE, recette métier et projet, support fonctionnel Back Office, assistance post-démarrage, coordination MOA / MOE / DSI / métiers, protection sociale, RGCU et DSN.</w:t>
            </w:r>
          </w:p>
        </w:tc>
      </w:tr>
      <w:tr w:rsidR="00CF2A52" w:rsidRPr="0019734D" w14:paraId="2D055D0D" w14:textId="77777777" w:rsidTr="00812C8A">
        <w:trPr>
          <w:jc w:val="center"/>
        </w:trPr>
        <w:tc>
          <w:tcPr>
            <w:tcW w:w="5108" w:type="dxa"/>
          </w:tcPr>
          <w:p w14:paraId="36C6E1B8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t>Description de la mission la plus significative</w:t>
            </w:r>
          </w:p>
        </w:tc>
        <w:tc>
          <w:tcPr>
            <w:tcW w:w="5087" w:type="dxa"/>
          </w:tcPr>
          <w:p w14:paraId="56C1666F" w14:textId="77777777" w:rsidR="001D4F22" w:rsidRDefault="00000000">
            <w:r>
              <w:rPr>
                <w:rFonts w:ascii="Aptos" w:eastAsia="Aptos" w:hAnsi="Aptos"/>
                <w:sz w:val="20"/>
              </w:rPr>
              <w:t xml:space="preserve">Mission Agirc-Arrco / Usine Retraite – ALLURE : intervention sur la brique Prestations et le support Back Office dans le cadre du programme Usine Retraite porté par les fédérations Agirc / Arrco. OHU a contribué à la qualification fonctionnelle, à la recette métier, à la gestion des jeux d’essai, au suivi des anomalies, au reporting, à l’assistance post-démarrage, à la rationalisation des processus et à la formation / transfert de compétences auprès des utilisateurs. Cette expérience, bien qu’ancienne, constitue un socle métier directement mobilisable pour comprendre les enjeux du </w:t>
            </w:r>
            <w:r>
              <w:rPr>
                <w:rFonts w:ascii="Aptos" w:eastAsia="Aptos" w:hAnsi="Aptos"/>
                <w:sz w:val="20"/>
              </w:rPr>
              <w:lastRenderedPageBreak/>
              <w:t>Bureau Central, des IRC utilisatrices, des processus Back Office retraite, du paiement des allocataires et de la gestion administrative des dossiers.</w:t>
            </w:r>
          </w:p>
        </w:tc>
      </w:tr>
      <w:tr w:rsidR="00CF2A52" w:rsidRPr="0019734D" w14:paraId="0696760B" w14:textId="77777777" w:rsidTr="00812C8A">
        <w:trPr>
          <w:jc w:val="center"/>
        </w:trPr>
        <w:tc>
          <w:tcPr>
            <w:tcW w:w="5108" w:type="dxa"/>
          </w:tcPr>
          <w:p w14:paraId="41CF871A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lastRenderedPageBreak/>
              <w:t>Référence du profil communiqué</w:t>
            </w:r>
          </w:p>
        </w:tc>
        <w:tc>
          <w:tcPr>
            <w:tcW w:w="5087" w:type="dxa"/>
          </w:tcPr>
          <w:p w14:paraId="5483A3CA" w14:textId="650BEFB5" w:rsidR="001D4F22" w:rsidRDefault="00000000">
            <w:r>
              <w:rPr>
                <w:rFonts w:ascii="Aptos" w:eastAsia="Aptos" w:hAnsi="Aptos"/>
                <w:sz w:val="20"/>
              </w:rPr>
              <w:t xml:space="preserve">OHU – Consultant AMOA </w:t>
            </w:r>
            <w:r w:rsidR="00551413">
              <w:rPr>
                <w:rFonts w:ascii="Aptos" w:eastAsia="Aptos" w:hAnsi="Aptos"/>
                <w:sz w:val="20"/>
              </w:rPr>
              <w:t>Expert</w:t>
            </w:r>
            <w:r>
              <w:rPr>
                <w:rFonts w:ascii="Aptos" w:eastAsia="Aptos" w:hAnsi="Aptos"/>
                <w:sz w:val="20"/>
              </w:rPr>
              <w:t xml:space="preserve"> / Agirc-Arrco – Bureau Central</w:t>
            </w:r>
          </w:p>
        </w:tc>
      </w:tr>
      <w:tr w:rsidR="00CF2A52" w:rsidRPr="0019734D" w14:paraId="5F26BA5F" w14:textId="77777777" w:rsidTr="00812C8A">
        <w:trPr>
          <w:jc w:val="center"/>
        </w:trPr>
        <w:tc>
          <w:tcPr>
            <w:tcW w:w="5108" w:type="dxa"/>
          </w:tcPr>
          <w:p w14:paraId="553B3047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t>Synthèse des compétences et méthodes mises en œuvre</w:t>
            </w:r>
          </w:p>
        </w:tc>
        <w:tc>
          <w:tcPr>
            <w:tcW w:w="5087" w:type="dxa"/>
          </w:tcPr>
          <w:p w14:paraId="592F52B3" w14:textId="77777777" w:rsidR="001D4F22" w:rsidRDefault="00000000">
            <w:r>
              <w:rPr>
                <w:rFonts w:ascii="Aptos" w:eastAsia="Aptos" w:hAnsi="Aptos"/>
                <w:sz w:val="20"/>
              </w:rPr>
              <w:t>Méthodes et compétences mises en œuvre : cadrage, expression de besoins, notes de cadrage, SFG/SFD, validation fonctionnelle, documentation MOA, stratégie et cahiers de recette, conception / exécution des scénarios de test, valorisation des jeux de données, suivi des anomalies, support N2/N3, assistance utilisateurs, reporting et coordination multi-acteurs. Outils : HP ALM / Quality Center, Squash TM, outils de ticketing, Microsoft Office, Visio, SQL / DB2 / Toad / Squirrel / DbVisualizer, environnements mainframe TSO / MVS / COBOL, Windows, UNIX, Java/J2EE, AS400.</w:t>
            </w:r>
          </w:p>
        </w:tc>
      </w:tr>
      <w:tr w:rsidR="00CF2A52" w:rsidRPr="0019734D" w14:paraId="08D01516" w14:textId="77777777" w:rsidTr="00812C8A">
        <w:trPr>
          <w:jc w:val="center"/>
        </w:trPr>
        <w:tc>
          <w:tcPr>
            <w:tcW w:w="5108" w:type="dxa"/>
          </w:tcPr>
          <w:p w14:paraId="6BC8C57F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bCs/>
                <w:sz w:val="20"/>
                <w:szCs w:val="24"/>
              </w:rPr>
              <w:t>Qualification du profil (junior, senior, manager, directeur de projet, expert)</w:t>
            </w:r>
          </w:p>
        </w:tc>
        <w:tc>
          <w:tcPr>
            <w:tcW w:w="5087" w:type="dxa"/>
          </w:tcPr>
          <w:p w14:paraId="07848076" w14:textId="77777777" w:rsidR="001D4F22" w:rsidRDefault="00000000">
            <w:r>
              <w:rPr>
                <w:rFonts w:ascii="Aptos" w:eastAsia="Aptos" w:hAnsi="Aptos"/>
                <w:sz w:val="20"/>
              </w:rPr>
              <w:t>Senior / Expert</w:t>
            </w:r>
          </w:p>
        </w:tc>
      </w:tr>
      <w:tr w:rsidR="00CF2A52" w:rsidRPr="0019734D" w14:paraId="4F9DE322" w14:textId="77777777" w:rsidTr="00812C8A">
        <w:trPr>
          <w:jc w:val="center"/>
        </w:trPr>
        <w:tc>
          <w:tcPr>
            <w:tcW w:w="5108" w:type="dxa"/>
          </w:tcPr>
          <w:p w14:paraId="31C5941B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ascii="Aptos" w:eastAsia="Aptos" w:hAnsi="Aptos"/>
                <w:b/>
                <w:bCs/>
                <w:sz w:val="20"/>
                <w:szCs w:val="24"/>
              </w:rPr>
              <w:t>Disponibilité du profil</w:t>
            </w:r>
          </w:p>
        </w:tc>
        <w:tc>
          <w:tcPr>
            <w:tcW w:w="5087" w:type="dxa"/>
          </w:tcPr>
          <w:p w14:paraId="0140E3C5" w14:textId="77777777" w:rsidR="001D4F22" w:rsidRDefault="00000000">
            <w:r>
              <w:rPr>
                <w:rFonts w:ascii="Aptos" w:eastAsia="Aptos" w:hAnsi="Aptos"/>
                <w:sz w:val="20"/>
              </w:rPr>
              <w:t>Disponible à compter du 01/07/2026 – temps plein 5 jours/semaine – présence sur site à Paris 3 jours/semaine.</w:t>
            </w:r>
          </w:p>
        </w:tc>
      </w:tr>
      <w:tr w:rsidR="00CF2A52" w:rsidRPr="0019734D" w14:paraId="72D084AF" w14:textId="77777777" w:rsidTr="00812C8A">
        <w:trPr>
          <w:jc w:val="center"/>
        </w:trPr>
        <w:tc>
          <w:tcPr>
            <w:tcW w:w="5108" w:type="dxa"/>
          </w:tcPr>
          <w:p w14:paraId="771F6C7C" w14:textId="77777777" w:rsidR="00CF2A52" w:rsidRPr="0019734D" w:rsidRDefault="00CF2A52" w:rsidP="00812C8A">
            <w:pPr>
              <w:spacing w:before="20" w:after="2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Aptos" w:eastAsia="Aptos" w:hAnsi="Aptos"/>
                <w:b/>
                <w:bCs/>
                <w:sz w:val="20"/>
                <w:szCs w:val="24"/>
              </w:rPr>
              <w:t>TARIF (par jour en euros HT)</w:t>
            </w:r>
          </w:p>
        </w:tc>
        <w:tc>
          <w:tcPr>
            <w:tcW w:w="5087" w:type="dxa"/>
          </w:tcPr>
          <w:p w14:paraId="316EB92F" w14:textId="77777777" w:rsidR="001D4F22" w:rsidRDefault="00000000">
            <w:r>
              <w:rPr>
                <w:rFonts w:ascii="Aptos" w:eastAsia="Aptos" w:hAnsi="Aptos"/>
                <w:sz w:val="20"/>
              </w:rPr>
              <w:t>650 € HT / jour</w:t>
            </w:r>
          </w:p>
        </w:tc>
      </w:tr>
    </w:tbl>
    <w:p w14:paraId="447F1A38" w14:textId="77777777" w:rsidR="00CF2A52" w:rsidRPr="0019734D" w:rsidRDefault="00CF2A52" w:rsidP="00CF2A52">
      <w:pPr>
        <w:rPr>
          <w:bCs/>
          <w:sz w:val="26"/>
          <w:szCs w:val="26"/>
        </w:rPr>
      </w:pPr>
    </w:p>
    <w:p w14:paraId="187F6A3E" w14:textId="77777777" w:rsidR="00DE11AE" w:rsidRPr="00CF2A52" w:rsidRDefault="00DE11AE" w:rsidP="00CF2A52"/>
    <w:sectPr w:rsidR="00DE11AE" w:rsidRPr="00CF2A52" w:rsidSect="00CF2A52">
      <w:footnotePr>
        <w:numRestart w:val="eachPage"/>
      </w:footnotePr>
      <w:pgSz w:w="11907" w:h="16840" w:code="9"/>
      <w:pgMar w:top="993" w:right="851" w:bottom="567" w:left="851" w:header="454" w:footer="68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F600F"/>
    <w:multiLevelType w:val="hybridMultilevel"/>
    <w:tmpl w:val="9044FE8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C04C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796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21"/>
    <w:rsid w:val="00017CF1"/>
    <w:rsid w:val="001D4F22"/>
    <w:rsid w:val="002077F0"/>
    <w:rsid w:val="004045AD"/>
    <w:rsid w:val="004F2421"/>
    <w:rsid w:val="00551413"/>
    <w:rsid w:val="00A356B4"/>
    <w:rsid w:val="00A81E2A"/>
    <w:rsid w:val="00C12EEA"/>
    <w:rsid w:val="00CF2A52"/>
    <w:rsid w:val="00DE11AE"/>
    <w:rsid w:val="00EB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2FBB"/>
  <w15:chartTrackingRefBased/>
  <w15:docId w15:val="{49725F53-6149-4701-97B6-88C21AAF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 Light" w:eastAsiaTheme="minorHAnsi" w:hAnsi="Calibri Light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21"/>
    <w:pPr>
      <w:spacing w:before="120" w:after="120" w:line="240" w:lineRule="auto"/>
      <w:jc w:val="both"/>
    </w:pPr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F2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2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24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24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24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24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24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24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24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2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2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24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24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24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24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24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2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2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24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24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2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24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24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24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2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24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24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4F24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casegauche">
    <w:name w:val="f_case_gauche"/>
    <w:basedOn w:val="Normal"/>
    <w:uiPriority w:val="99"/>
    <w:rsid w:val="004F2421"/>
    <w:pPr>
      <w:spacing w:before="0" w:after="60"/>
      <w:ind w:left="284" w:hanging="284"/>
    </w:pPr>
    <w:rPr>
      <w:rFonts w:ascii="Univers" w:eastAsia="Times New Roman" w:hAnsi="Univers" w:cs="Univers"/>
      <w:sz w:val="20"/>
      <w:szCs w:val="20"/>
      <w:lang w:eastAsia="fr-FR"/>
    </w:rPr>
  </w:style>
  <w:style w:type="paragraph" w:customStyle="1" w:styleId="fcase2metab">
    <w:name w:val="f_case_2èmetab"/>
    <w:basedOn w:val="Normal"/>
    <w:uiPriority w:val="99"/>
    <w:rsid w:val="004F2421"/>
    <w:pPr>
      <w:tabs>
        <w:tab w:val="left" w:pos="426"/>
        <w:tab w:val="left" w:pos="851"/>
      </w:tabs>
      <w:spacing w:before="0" w:after="0"/>
      <w:ind w:left="1134" w:hanging="1134"/>
    </w:pPr>
    <w:rPr>
      <w:rFonts w:ascii="Univers" w:eastAsia="Times New Roman" w:hAnsi="Univers" w:cs="Univers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CAB84B-1A5F-4CFC-BE45-979AE844DA28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FFE43718-D1AF-469D-9DC3-E31EFEFB4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F03D8B-00F9-4505-B59E-AD423B9FB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Groupe FASTOR</dc:creator>
  <cp:keywords/>
  <dc:description/>
  <cp:lastModifiedBy>David Vandenborght</cp:lastModifiedBy>
  <cp:revision>6</cp:revision>
  <dcterms:created xsi:type="dcterms:W3CDTF">2026-01-26T08:49:00Z</dcterms:created>
  <dcterms:modified xsi:type="dcterms:W3CDTF">2026-06-09T11:38:00Z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