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38DD6" w14:textId="77777777" w:rsidR="00766A5B" w:rsidRDefault="00766A5B"/>
    <w:p w14:paraId="7F1C6A25" w14:textId="77777777" w:rsidR="008E07A3" w:rsidRDefault="008E07A3"/>
    <w:p w14:paraId="78234812" w14:textId="77777777" w:rsidR="008E07A3" w:rsidRDefault="008E07A3"/>
    <w:p w14:paraId="31946EA2" w14:textId="77777777" w:rsidR="008E07A3" w:rsidRDefault="008E07A3" w:rsidP="008E07A3">
      <w:pPr>
        <w:pStyle w:val="Titre1"/>
      </w:pPr>
    </w:p>
    <w:p w14:paraId="0F2455FA" w14:textId="77777777" w:rsidR="008E07A3" w:rsidRDefault="008E07A3" w:rsidP="008E07A3">
      <w:pPr>
        <w:pStyle w:val="Titre1"/>
      </w:pPr>
    </w:p>
    <w:p w14:paraId="181E97CB" w14:textId="52C7A980" w:rsidR="008E07A3" w:rsidRPr="00F20569" w:rsidRDefault="00F20569" w:rsidP="00F20569">
      <w:pPr>
        <w:pStyle w:val="Titre1"/>
        <w:jc w:val="center"/>
        <w:rPr>
          <w:color w:val="auto"/>
        </w:rPr>
      </w:pPr>
      <w:bookmarkStart w:id="0" w:name="_Toc203495533"/>
      <w:bookmarkStart w:id="1" w:name="_Toc206503007"/>
      <w:r>
        <w:rPr>
          <w:rFonts w:ascii="Aptos" w:eastAsia="Aptos" w:hAnsi="Aptos"/>
          <w:color w:val="auto"/>
          <w:sz w:val="22"/>
        </w:rPr>
        <w:t xml:space="preserve">Fédération </w:t>
      </w:r>
      <w:r w:rsidR="008E07A3" w:rsidRPr="00F20569">
        <w:rPr>
          <w:rFonts w:ascii="Aptos" w:eastAsia="Aptos" w:hAnsi="Aptos"/>
          <w:color w:val="auto"/>
          <w:sz w:val="22"/>
        </w:rPr>
        <w:t>AGIRC</w:t>
      </w:r>
      <w:r>
        <w:rPr>
          <w:rFonts w:ascii="Aptos" w:eastAsia="Aptos" w:hAnsi="Aptos"/>
          <w:color w:val="auto"/>
          <w:sz w:val="22"/>
        </w:rPr>
        <w:t>-</w:t>
      </w:r>
      <w:r w:rsidR="008E07A3" w:rsidRPr="00F20569">
        <w:rPr>
          <w:rFonts w:ascii="Aptos" w:eastAsia="Aptos" w:hAnsi="Aptos"/>
          <w:color w:val="auto"/>
          <w:sz w:val="22"/>
        </w:rPr>
        <w:t>ARRCO</w:t>
      </w:r>
      <w:bookmarkEnd w:id="0"/>
      <w:bookmarkEnd w:id="1"/>
    </w:p>
    <w:p w14:paraId="338A736F" w14:textId="67A83CC9" w:rsidR="00F20569" w:rsidRPr="00F20569" w:rsidRDefault="00F20569" w:rsidP="00F20569">
      <w:pPr>
        <w:pStyle w:val="Titre1"/>
        <w:jc w:val="center"/>
        <w:rPr>
          <w:color w:val="auto"/>
          <w:sz w:val="28"/>
          <w:szCs w:val="20"/>
        </w:rPr>
      </w:pPr>
      <w:bookmarkStart w:id="2" w:name="_Toc206503008"/>
      <w:bookmarkEnd w:id="2"/>
      <w:r>
        <w:rPr>
          <w:rFonts w:ascii="Aptos" w:eastAsia="Aptos" w:hAnsi="Aptos"/>
          <w:b/>
          <w:color w:val="000000"/>
          <w:sz w:val="44"/>
        </w:rPr>
        <w:t>2026-02-SAD-022</w:t>
      </w:r>
    </w:p>
    <w:p w14:paraId="3BA5BC6A" w14:textId="77777777" w:rsidR="00F20569" w:rsidRPr="00F20569" w:rsidRDefault="00F20569" w:rsidP="00F20569">
      <w:pPr>
        <w:pStyle w:val="Titre1"/>
        <w:jc w:val="center"/>
        <w:rPr>
          <w:color w:val="auto"/>
          <w:sz w:val="28"/>
          <w:szCs w:val="20"/>
        </w:rPr>
      </w:pPr>
    </w:p>
    <w:p w14:paraId="2C7EDA18" w14:textId="45E6138C" w:rsidR="00F20569" w:rsidRPr="00F20569" w:rsidRDefault="00F20569" w:rsidP="00F20569">
      <w:pPr>
        <w:pStyle w:val="Titre1"/>
        <w:jc w:val="center"/>
        <w:rPr>
          <w:color w:val="auto"/>
          <w:sz w:val="28"/>
          <w:szCs w:val="20"/>
        </w:rPr>
      </w:pPr>
      <w:bookmarkStart w:id="3" w:name="_Toc206503009"/>
      <w:bookmarkEnd w:id="3"/>
      <w:r>
        <w:rPr>
          <w:rFonts w:ascii="Aptos" w:eastAsia="Aptos" w:hAnsi="Aptos"/>
          <w:b/>
          <w:color w:val="000000"/>
          <w:sz w:val="44"/>
        </w:rPr>
        <w:t>Assistance à MOA sur le Bureau Central</w:t>
      </w:r>
      <w:r>
        <w:br w:type="page"/>
      </w:r>
    </w:p>
    <w:p w14:paraId="7F5AAB2F" w14:textId="77777777" w:rsidR="00736376" w:rsidRDefault="00000000">
      <w:pPr>
        <w:spacing w:before="200" w:after="120"/>
      </w:pPr>
      <w:r>
        <w:rPr>
          <w:rFonts w:ascii="Aptos" w:eastAsia="Aptos" w:hAnsi="Aptos"/>
          <w:b/>
          <w:color w:val="000000"/>
          <w:sz w:val="26"/>
        </w:rPr>
        <w:lastRenderedPageBreak/>
        <w:t>Gouvernance &amp; pilotage</w:t>
      </w:r>
    </w:p>
    <w:p w14:paraId="5466355D" w14:textId="77777777" w:rsidR="00736376" w:rsidRDefault="00000000">
      <w:pPr>
        <w:spacing w:after="40"/>
      </w:pPr>
      <w:r>
        <w:rPr>
          <w:rFonts w:ascii="Aptos" w:eastAsia="Aptos" w:hAnsi="Aptos"/>
          <w:sz w:val="22"/>
        </w:rPr>
        <w:t>• Pilotage contractuel du marché assuré par FASTOR GIE, mandataire du SAD, avec points de lancement et comités de pilotage selon les modalités du marché.</w:t>
      </w:r>
    </w:p>
    <w:p w14:paraId="701A2466" w14:textId="77777777" w:rsidR="00736376" w:rsidRDefault="00000000">
      <w:pPr>
        <w:spacing w:after="40"/>
      </w:pPr>
      <w:r>
        <w:rPr>
          <w:rFonts w:ascii="Aptos" w:eastAsia="Aptos" w:hAnsi="Aptos"/>
          <w:sz w:val="22"/>
        </w:rPr>
        <w:t>• Gouvernance opérationnelle assurée en coordination avec TILENCIA et le consultant OHU : suivi d’avancement, risques, actions, décisions, KPI de recette et alertes éventuelles.</w:t>
      </w:r>
    </w:p>
    <w:p w14:paraId="35F3414F" w14:textId="77777777" w:rsidR="00736376" w:rsidRDefault="00000000">
      <w:pPr>
        <w:spacing w:after="40"/>
      </w:pPr>
      <w:r>
        <w:rPr>
          <w:rFonts w:ascii="Aptos" w:eastAsia="Aptos" w:hAnsi="Aptos"/>
          <w:sz w:val="22"/>
        </w:rPr>
        <w:t>• Dispositif de suivi adapté à une mission AMOA en régie : transparence, reporting régulier, remontée rapide des points de blocage et capitalisation documentaire.</w:t>
      </w:r>
    </w:p>
    <w:p w14:paraId="501D4F09" w14:textId="77777777" w:rsidR="00736376" w:rsidRDefault="00000000">
      <w:pPr>
        <w:spacing w:before="200" w:after="120"/>
      </w:pPr>
      <w:r>
        <w:rPr>
          <w:rFonts w:ascii="Aptos" w:eastAsia="Aptos" w:hAnsi="Aptos"/>
          <w:b/>
          <w:color w:val="000000"/>
          <w:sz w:val="32"/>
        </w:rPr>
        <w:t>I – Compréhension du sujet et enjeux</w:t>
      </w:r>
    </w:p>
    <w:p w14:paraId="0F6DF639" w14:textId="77777777" w:rsidR="00736376" w:rsidRDefault="00000000">
      <w:pPr>
        <w:spacing w:after="100" w:line="252" w:lineRule="auto"/>
      </w:pPr>
      <w:r>
        <w:rPr>
          <w:rFonts w:ascii="Aptos" w:eastAsia="Aptos" w:hAnsi="Aptos"/>
          <w:sz w:val="22"/>
        </w:rPr>
        <w:t>La Fédération AGIRC-ARRCO recherche un appui AMOA opérationnel pour accompagner la mise en œuvre du Bureau Central, dans un contexte de maintenance, d’évolution et de déploiement d’applications utilisées par les Institutions de Retraite Complémentaire. Le besoin se situe au croisement des enjeux métier retraite, de la coordination avec la DSI-RC, de la recette projet et métier, de la documentation MOA et de l’accompagnement des utilisateurs.</w:t>
      </w:r>
    </w:p>
    <w:p w14:paraId="088B960B" w14:textId="77777777" w:rsidR="00736376" w:rsidRDefault="00000000">
      <w:pPr>
        <w:spacing w:after="100" w:line="252" w:lineRule="auto"/>
      </w:pPr>
      <w:r>
        <w:rPr>
          <w:rFonts w:ascii="Aptos" w:eastAsia="Aptos" w:hAnsi="Aptos"/>
          <w:sz w:val="22"/>
        </w:rPr>
        <w:t>La mission attendue n’est pas une simple intervention de recette. Elle nécessite un profil capable de comprendre rapidement les processus Back Office retraite, les interactions entre applications, les usages des IRC, les contraintes de déploiement et le rôle des outillages transverses rattachés au Bureau du Gestionnaire, à l’éditique et à la GED. Le consultant doit savoir transformer des besoins métier en livrables exploitables par la DSI, sécuriser les spécifications, préparer les campagnes de recette et assister les équipes internes jusqu’au déploiement.</w:t>
      </w:r>
    </w:p>
    <w:p w14:paraId="6E07D359" w14:textId="77777777" w:rsidR="00736376" w:rsidRDefault="00000000">
      <w:pPr>
        <w:spacing w:after="100" w:line="252" w:lineRule="auto"/>
      </w:pPr>
      <w:r>
        <w:rPr>
          <w:rFonts w:ascii="Aptos" w:eastAsia="Aptos" w:hAnsi="Aptos"/>
          <w:sz w:val="22"/>
        </w:rPr>
        <w:t>Les enjeux principaux identifiés sont les suivants : sécuriser la qualité fonctionnelle des évolutions, fiabiliser les recettes métier, faciliter la coordination entre équipes métier, opérationnels et DSI, produire une documentation MOA claire, et accompagner les applications / IRC utilisatrices dans une logique de continuité de service et d’appropriation.</w:t>
      </w:r>
    </w:p>
    <w:p w14:paraId="3D43F5BE" w14:textId="77777777" w:rsidR="00736376" w:rsidRDefault="00000000">
      <w:pPr>
        <w:spacing w:before="200" w:after="120"/>
      </w:pPr>
      <w:r>
        <w:rPr>
          <w:rFonts w:ascii="Aptos" w:eastAsia="Aptos" w:hAnsi="Aptos"/>
          <w:b/>
          <w:color w:val="000000"/>
          <w:sz w:val="32"/>
        </w:rPr>
        <w:t>II – Qui sommes-nous et nos engagements</w:t>
      </w:r>
    </w:p>
    <w:p w14:paraId="73374FF7" w14:textId="77777777" w:rsidR="00736376" w:rsidRDefault="00000000">
      <w:pPr>
        <w:spacing w:after="100" w:line="252" w:lineRule="auto"/>
      </w:pPr>
      <w:r>
        <w:rPr>
          <w:rFonts w:ascii="Aptos" w:eastAsia="Aptos" w:hAnsi="Aptos"/>
          <w:sz w:val="22"/>
        </w:rPr>
        <w:t>Créé en décembre 2014, FASTOR GIE a pour vocation de coopter des PME ESN avec pour objectif de pérenniser les relations Grands Comptes tout en respectant les critères de référencement. Ce modèle est plébiscité par les Directions Achats qui y trouvent une sécurité juridique et un choix élargi de prestataires.</w:t>
      </w:r>
    </w:p>
    <w:p w14:paraId="2C039DAF" w14:textId="77777777" w:rsidR="00736376" w:rsidRDefault="00000000">
      <w:pPr>
        <w:spacing w:after="100" w:line="252" w:lineRule="auto"/>
      </w:pPr>
      <w:r>
        <w:rPr>
          <w:rFonts w:ascii="Aptos" w:eastAsia="Aptos" w:hAnsi="Aptos"/>
          <w:sz w:val="22"/>
        </w:rPr>
        <w:t>La force du GIE est son maillage territorial, en parfaite adéquation avec la situation géographique de clients multi-sites. La complétude de l’offre et les implantations en région placent FASTOR GIE comme un acteur de proximité reconnu, référencé et en forte croissance.</w:t>
      </w:r>
    </w:p>
    <w:p w14:paraId="21C50C3B" w14:textId="77777777" w:rsidR="00736376" w:rsidRDefault="00000000">
      <w:pPr>
        <w:spacing w:after="100" w:line="252" w:lineRule="auto"/>
      </w:pPr>
      <w:r>
        <w:rPr>
          <w:rFonts w:ascii="Aptos" w:eastAsia="Aptos" w:hAnsi="Aptos"/>
          <w:sz w:val="22"/>
        </w:rPr>
        <w:t>Les membres du GIE partagent des valeurs humaines et une même volonté d’entretenir une relation directe et responsable avec les clients comme avec les collaborateurs. FASTOR GIE a la capacité de délivrer et de garantir une prestation de qualité par la sélection, le recrutement, la fidélisation, la formation et le management du collaborateur durant la prestation.</w:t>
      </w:r>
    </w:p>
    <w:p w14:paraId="1F72FC1E" w14:textId="77777777" w:rsidR="00736376" w:rsidRDefault="00000000">
      <w:pPr>
        <w:spacing w:after="100" w:line="252" w:lineRule="auto"/>
        <w:rPr>
          <w:rFonts w:ascii="Aptos" w:eastAsia="Aptos" w:hAnsi="Aptos"/>
          <w:sz w:val="22"/>
        </w:rPr>
      </w:pPr>
      <w:r>
        <w:rPr>
          <w:rFonts w:ascii="Aptos" w:eastAsia="Aptos" w:hAnsi="Aptos"/>
          <w:sz w:val="22"/>
        </w:rPr>
        <w:t>Dans le cadre de cette réponse, FASTOR GIE et TILENCIA proposent le profil OHU, consultant AMOA senior disposant d’une expertise directement alignée avec les enjeux du Bureau Central et d’un socle métier rare sur l’écosystème AGIRC-ARRCO / Usine Retraite.</w:t>
      </w:r>
    </w:p>
    <w:p w14:paraId="1E371929" w14:textId="77777777" w:rsidR="00511CEF" w:rsidRDefault="00511CEF">
      <w:pPr>
        <w:spacing w:after="100" w:line="252" w:lineRule="auto"/>
        <w:rPr>
          <w:rFonts w:ascii="Aptos" w:eastAsia="Aptos" w:hAnsi="Aptos"/>
          <w:sz w:val="22"/>
        </w:rPr>
      </w:pPr>
    </w:p>
    <w:p w14:paraId="4BFD18B3" w14:textId="77777777" w:rsidR="00511CEF" w:rsidRDefault="00511CEF">
      <w:pPr>
        <w:spacing w:after="100" w:line="252" w:lineRule="auto"/>
        <w:rPr>
          <w:rFonts w:ascii="Aptos" w:eastAsia="Aptos" w:hAnsi="Aptos"/>
          <w:sz w:val="22"/>
        </w:rPr>
      </w:pPr>
    </w:p>
    <w:p w14:paraId="48502D2A" w14:textId="77777777" w:rsidR="00511CEF" w:rsidRDefault="00511CEF">
      <w:pPr>
        <w:spacing w:after="100" w:line="252" w:lineRule="auto"/>
      </w:pPr>
    </w:p>
    <w:p w14:paraId="193EC5B8" w14:textId="77777777" w:rsidR="00736376" w:rsidRDefault="00000000">
      <w:pPr>
        <w:spacing w:before="200" w:after="120"/>
      </w:pPr>
      <w:r>
        <w:rPr>
          <w:rFonts w:ascii="Aptos" w:eastAsia="Aptos" w:hAnsi="Aptos"/>
          <w:b/>
          <w:color w:val="000000"/>
          <w:sz w:val="32"/>
        </w:rPr>
        <w:t>III – Notre réponse</w:t>
      </w:r>
    </w:p>
    <w:p w14:paraId="1833EDE0" w14:textId="77777777" w:rsidR="00736376" w:rsidRDefault="00000000">
      <w:pPr>
        <w:spacing w:before="200" w:after="120"/>
      </w:pPr>
      <w:r>
        <w:rPr>
          <w:rFonts w:ascii="Aptos" w:eastAsia="Aptos" w:hAnsi="Aptos"/>
          <w:b/>
          <w:color w:val="000000"/>
          <w:sz w:val="26"/>
        </w:rPr>
        <w:t>1. Pilotage et Gouvernance</w:t>
      </w:r>
    </w:p>
    <w:p w14:paraId="1B396F89" w14:textId="77777777" w:rsidR="00736376" w:rsidRDefault="00000000">
      <w:pPr>
        <w:spacing w:after="40"/>
      </w:pPr>
      <w:r>
        <w:rPr>
          <w:rFonts w:ascii="Aptos" w:eastAsia="Aptos" w:hAnsi="Aptos"/>
          <w:sz w:val="22"/>
        </w:rPr>
        <w:t>• Réunion de lancement : cadrage du périmètre, identification des interlocuteurs, clarification des priorités, des livrables attendus et du calendrier de démarrage.</w:t>
      </w:r>
    </w:p>
    <w:p w14:paraId="0578A75A" w14:textId="77777777" w:rsidR="00736376" w:rsidRDefault="00000000">
      <w:pPr>
        <w:spacing w:after="40"/>
      </w:pPr>
      <w:r>
        <w:rPr>
          <w:rFonts w:ascii="Aptos" w:eastAsia="Aptos" w:hAnsi="Aptos"/>
          <w:sz w:val="22"/>
        </w:rPr>
        <w:t>• Suivi opérationnel : points réguliers avec le responsable de mission, suivi des actions, décisions, risques, anomalies et arbitrages à produire.</w:t>
      </w:r>
    </w:p>
    <w:p w14:paraId="00B8CD3D" w14:textId="77777777" w:rsidR="00736376" w:rsidRDefault="00000000">
      <w:pPr>
        <w:spacing w:after="40"/>
      </w:pPr>
      <w:r>
        <w:rPr>
          <w:rFonts w:ascii="Aptos" w:eastAsia="Aptos" w:hAnsi="Aptos"/>
          <w:sz w:val="22"/>
        </w:rPr>
        <w:t>• Reporting : production d’un reporting synthétique permettant de suivre l’avancement des travaux de recette, de documentation, d’analyse des besoins et de déploiement.</w:t>
      </w:r>
    </w:p>
    <w:p w14:paraId="4CA650B6" w14:textId="77777777" w:rsidR="00736376" w:rsidRDefault="00000000">
      <w:pPr>
        <w:spacing w:after="40"/>
      </w:pPr>
      <w:r>
        <w:rPr>
          <w:rFonts w:ascii="Aptos" w:eastAsia="Aptos" w:hAnsi="Aptos"/>
          <w:sz w:val="22"/>
        </w:rPr>
        <w:t>• Méthode : approche pragmatique, compatible Agile et Cycle en V, adaptée au rythme des équipes internes et aux contraintes de mise en œuvre du Bureau Central.</w:t>
      </w:r>
    </w:p>
    <w:p w14:paraId="23732EC3" w14:textId="77777777" w:rsidR="00736376" w:rsidRDefault="00000000">
      <w:pPr>
        <w:spacing w:after="40"/>
      </w:pPr>
      <w:r>
        <w:rPr>
          <w:rFonts w:ascii="Aptos" w:eastAsia="Aptos" w:hAnsi="Aptos"/>
          <w:sz w:val="22"/>
        </w:rPr>
        <w:t>• Qualité : traçabilité des besoins, des spécifications, des cas de tests, des anomalies et des validations métier afin de sécuriser chaque étape de la prestation.</w:t>
      </w:r>
    </w:p>
    <w:p w14:paraId="14D5A936" w14:textId="77777777" w:rsidR="00736376" w:rsidRDefault="00000000">
      <w:pPr>
        <w:spacing w:before="200" w:after="120"/>
      </w:pPr>
      <w:r>
        <w:rPr>
          <w:rFonts w:ascii="Aptos" w:eastAsia="Aptos" w:hAnsi="Aptos"/>
          <w:b/>
          <w:color w:val="000000"/>
          <w:sz w:val="26"/>
        </w:rPr>
        <w:t>2. Réponse technique</w:t>
      </w:r>
    </w:p>
    <w:p w14:paraId="63C94333" w14:textId="2A979879" w:rsidR="00736376" w:rsidRDefault="00000000">
      <w:pPr>
        <w:spacing w:after="100" w:line="252" w:lineRule="auto"/>
      </w:pPr>
      <w:r>
        <w:rPr>
          <w:rFonts w:ascii="Aptos" w:eastAsia="Aptos" w:hAnsi="Aptos"/>
          <w:sz w:val="22"/>
        </w:rPr>
        <w:t xml:space="preserve">OHU est proposé comme consultant AMOA </w:t>
      </w:r>
      <w:r w:rsidR="00737B46">
        <w:rPr>
          <w:rFonts w:ascii="Aptos" w:eastAsia="Aptos" w:hAnsi="Aptos"/>
          <w:sz w:val="22"/>
        </w:rPr>
        <w:t>Expert</w:t>
      </w:r>
      <w:r>
        <w:rPr>
          <w:rFonts w:ascii="Aptos" w:eastAsia="Aptos" w:hAnsi="Aptos"/>
          <w:sz w:val="22"/>
        </w:rPr>
        <w:t>, avec 27 ans d’expérience en SI, AMOA, analyse fonctionnelle, recette, support fonctionnel et coordination multi-acteurs. Son profil présente une combinaison particulièrement pertinente pour ce besoin : connaissance directe de l’écosystème AGIRC-ARRCO / Usine Retraite, maîtrise des recettes métier, capacité à produire des livrables MOA et expérience récente en protection sociale.</w:t>
      </w:r>
    </w:p>
    <w:p w14:paraId="3B23D96A" w14:textId="77777777" w:rsidR="00736376" w:rsidRDefault="00000000">
      <w:pPr>
        <w:spacing w:after="100" w:line="252" w:lineRule="auto"/>
      </w:pPr>
      <w:r>
        <w:rPr>
          <w:rFonts w:ascii="Aptos" w:eastAsia="Aptos" w:hAnsi="Aptos"/>
          <w:sz w:val="22"/>
        </w:rPr>
        <w:t>Son expérience AGIRC-ARRCO / Usine Retraite date de 2009-2014, mais elle constitue un atout majeur pour ce marché. Il est intervenu sur ALLURE, notamment sur la brique Prestations assurant le paiement des retraites des allocataires des régimes complémentaires Arrco et Agirc, ainsi que sur la gestion administrative et financière des dossiers. Il a également accompagné le démarrage de la brique ALLURE en appui de la MOA Back Office, avec assistance de second niveau, analyse des demandes, proposition de solutions, remontées d’assistance / correction / évolution et rationalisation des processus.</w:t>
      </w:r>
    </w:p>
    <w:p w14:paraId="695881D6" w14:textId="77777777" w:rsidR="00736376" w:rsidRDefault="00000000">
      <w:pPr>
        <w:spacing w:after="100" w:line="252" w:lineRule="auto"/>
      </w:pPr>
      <w:r>
        <w:rPr>
          <w:rFonts w:ascii="Aptos" w:eastAsia="Aptos" w:hAnsi="Aptos"/>
          <w:sz w:val="22"/>
        </w:rPr>
        <w:t>Cette connaissance des périmètres retraite complémentaire est déterminante pour le besoin Bureau Central : elle permet à OHU de comprendre rapidement les enjeux Back Office, les attentes des opérationnels, la logique des dossiers allocataires, les contraintes de paiement et de gestion administrative, ainsi que les impératifs de recette, de support et de déploiement auprès d’utilisateurs métier.</w:t>
      </w:r>
    </w:p>
    <w:p w14:paraId="0379CFC7" w14:textId="77777777" w:rsidR="00736376" w:rsidRDefault="00000000">
      <w:pPr>
        <w:spacing w:after="100" w:line="252" w:lineRule="auto"/>
      </w:pPr>
      <w:r>
        <w:rPr>
          <w:rFonts w:ascii="Aptos" w:eastAsia="Aptos" w:hAnsi="Aptos"/>
          <w:sz w:val="22"/>
        </w:rPr>
        <w:t>Ses missions plus récentes confirment sa capacité à intervenir immédiatement dans des environnements protection sociale complexes : CNAM, PRO BTP, MGEN, SESAN, CIPAV, GIP-MDS et AG2R La Mondiale. Elles démontrent une continuité d’expertise sur les sujets AMOA, recette, support fonctionnel, documentation, coordination MOA / MOE / métiers et suivi des anomalies.</w:t>
      </w:r>
    </w:p>
    <w:p w14:paraId="7324C162" w14:textId="77777777" w:rsidR="00736376" w:rsidRDefault="00000000">
      <w:pPr>
        <w:spacing w:after="100" w:line="252" w:lineRule="auto"/>
      </w:pPr>
      <w:r>
        <w:rPr>
          <w:rFonts w:ascii="Aptos" w:eastAsia="Aptos" w:hAnsi="Aptos"/>
          <w:sz w:val="22"/>
        </w:rPr>
        <w:t>OHU constitue ainsi la solution la plus sécurisée pour cette mission : il apporte à la fois la connaissance métier retraite complémentaire indispensable, l’expérience opérationnelle de la recette et du support, et la capacité à faire le lien entre les équipes métier, les opérationnels et la DSI-RC.</w:t>
      </w:r>
    </w:p>
    <w:p w14:paraId="641BC05D" w14:textId="77777777" w:rsidR="00736376" w:rsidRDefault="00000000">
      <w:pPr>
        <w:spacing w:after="100" w:line="252" w:lineRule="auto"/>
      </w:pPr>
      <w:r>
        <w:rPr>
          <w:rFonts w:ascii="Aptos" w:eastAsia="Aptos" w:hAnsi="Aptos"/>
          <w:sz w:val="22"/>
        </w:rPr>
        <w:t xml:space="preserve">Compétences et outils mobilisables : AMOA opérationnelle, expression de besoins, notes de cadrage, SFG/SFD, validation de spécifications, documentation MOA, stratégie de recette, </w:t>
      </w:r>
      <w:r>
        <w:rPr>
          <w:rFonts w:ascii="Aptos" w:eastAsia="Aptos" w:hAnsi="Aptos"/>
          <w:sz w:val="22"/>
        </w:rPr>
        <w:lastRenderedPageBreak/>
        <w:t>cahiers de recette, scénarios de test, jeux de données, suivi d’anomalies, reporting, assistance post-démarrage, support N2/N3, conduite du changement et formation utilisateurs.</w:t>
      </w:r>
    </w:p>
    <w:p w14:paraId="17AFA20E" w14:textId="77777777" w:rsidR="00736376" w:rsidRDefault="00000000">
      <w:pPr>
        <w:spacing w:after="100" w:line="252" w:lineRule="auto"/>
      </w:pPr>
      <w:r>
        <w:rPr>
          <w:rFonts w:ascii="Aptos" w:eastAsia="Aptos" w:hAnsi="Aptos"/>
          <w:sz w:val="22"/>
        </w:rPr>
        <w:t>Outils et environnements : HP ALM / Quality Center, Squash TM, outils de ticketing, Microsoft Office, Visio, SQL, DB2, Toad, Squirrel, DbVisualizer, Microsoft Access, TSO, MVS, COBOL, Windows, UNIX, Java/J2EE et AS400.</w:t>
      </w:r>
    </w:p>
    <w:p w14:paraId="47E8A6A3" w14:textId="77777777" w:rsidR="00736376" w:rsidRDefault="00000000">
      <w:pPr>
        <w:spacing w:after="100" w:line="252" w:lineRule="auto"/>
      </w:pPr>
      <w:r>
        <w:rPr>
          <w:rFonts w:ascii="Aptos" w:eastAsia="Aptos" w:hAnsi="Aptos"/>
          <w:b/>
          <w:sz w:val="22"/>
        </w:rPr>
        <w:t>Positionnement financier proposé : 650 € HT / jour.</w:t>
      </w:r>
    </w:p>
    <w:p w14:paraId="434D93DB" w14:textId="77777777" w:rsidR="00736376" w:rsidRDefault="00000000">
      <w:pPr>
        <w:spacing w:before="200" w:after="120"/>
      </w:pPr>
      <w:r>
        <w:rPr>
          <w:rFonts w:ascii="Aptos" w:eastAsia="Aptos" w:hAnsi="Aptos"/>
          <w:b/>
          <w:color w:val="000000"/>
          <w:sz w:val="26"/>
        </w:rPr>
        <w:t>3. Équipe type</w:t>
      </w:r>
    </w:p>
    <w:p w14:paraId="122E0DD5" w14:textId="77777777" w:rsidR="00736376" w:rsidRDefault="00000000">
      <w:pPr>
        <w:spacing w:after="100" w:line="252" w:lineRule="auto"/>
      </w:pPr>
      <w:r>
        <w:rPr>
          <w:rFonts w:ascii="Aptos" w:eastAsia="Aptos" w:hAnsi="Aptos"/>
          <w:sz w:val="22"/>
        </w:rPr>
        <w:t>La prestation est proposée avec une ressource unique, OHU, positionnée en consultant AMOA senior / expert retraite complémentaire. Ce format est cohérent avec le besoin estimé à 1 ETP et permet de garantir un point d’entrée clair, responsabilisé et immédiatement opérationnel.</w:t>
      </w:r>
    </w:p>
    <w:p w14:paraId="0BD54C9E" w14:textId="77777777" w:rsidR="00736376" w:rsidRDefault="00000000">
      <w:pPr>
        <w:spacing w:after="40"/>
      </w:pPr>
      <w:r>
        <w:rPr>
          <w:rFonts w:ascii="Aptos" w:eastAsia="Aptos" w:hAnsi="Aptos"/>
          <w:sz w:val="22"/>
        </w:rPr>
        <w:t>• Rôle principal : consultant AMOA opérationnel sur le Bureau Central.</w:t>
      </w:r>
    </w:p>
    <w:p w14:paraId="10E911A2" w14:textId="77777777" w:rsidR="00736376" w:rsidRDefault="00000000">
      <w:pPr>
        <w:spacing w:after="40"/>
      </w:pPr>
      <w:r>
        <w:rPr>
          <w:rFonts w:ascii="Aptos" w:eastAsia="Aptos" w:hAnsi="Aptos"/>
          <w:sz w:val="22"/>
        </w:rPr>
        <w:t>• Responsabilités : recueil et formalisation des besoins, validation des spécifications, préparation / exécution des recettes, suivi des anomalies, production de documentation MOA et accompagnement des déploiements.</w:t>
      </w:r>
    </w:p>
    <w:p w14:paraId="58562B39" w14:textId="77777777" w:rsidR="00736376" w:rsidRDefault="00000000">
      <w:pPr>
        <w:spacing w:after="40"/>
      </w:pPr>
      <w:r>
        <w:rPr>
          <w:rFonts w:ascii="Aptos" w:eastAsia="Aptos" w:hAnsi="Aptos"/>
          <w:sz w:val="22"/>
        </w:rPr>
        <w:t>• Interface : coordination avec les équipes métier, les collaborateurs opérationnels, la DSI-RC, les responsables de déploiement et les applications / IRC utilisatrices.</w:t>
      </w:r>
    </w:p>
    <w:p w14:paraId="7CC50C76" w14:textId="77777777" w:rsidR="00736376" w:rsidRDefault="00000000">
      <w:pPr>
        <w:spacing w:after="40"/>
      </w:pPr>
      <w:r>
        <w:rPr>
          <w:rFonts w:ascii="Aptos" w:eastAsia="Aptos" w:hAnsi="Aptos"/>
          <w:sz w:val="22"/>
        </w:rPr>
        <w:t>• Valeur ajoutée : connaissance des périmètres AGIRC-ARRCO / Usine Retraite et capacité à réactiver cette expérience dans un environnement AMOA actuel et exigeant.</w:t>
      </w:r>
    </w:p>
    <w:p w14:paraId="2E7BF425" w14:textId="77777777" w:rsidR="00736376" w:rsidRDefault="00000000">
      <w:pPr>
        <w:spacing w:before="200" w:after="120"/>
      </w:pPr>
      <w:r>
        <w:rPr>
          <w:rFonts w:ascii="Aptos" w:eastAsia="Aptos" w:hAnsi="Aptos"/>
          <w:b/>
          <w:color w:val="000000"/>
          <w:sz w:val="26"/>
        </w:rPr>
        <w:t>4. Planning prévisionnel</w:t>
      </w:r>
    </w:p>
    <w:p w14:paraId="6451EADC" w14:textId="77777777" w:rsidR="00736376" w:rsidRDefault="00000000">
      <w:pPr>
        <w:spacing w:after="40"/>
      </w:pPr>
      <w:r>
        <w:rPr>
          <w:rFonts w:ascii="Aptos" w:eastAsia="Aptos" w:hAnsi="Aptos"/>
          <w:sz w:val="22"/>
        </w:rPr>
        <w:t>• Démarrage au 01/07/2026 : prise de connaissance du contexte, des interlocuteurs, du planning, des applications concernées et des priorités de déploiement.</w:t>
      </w:r>
    </w:p>
    <w:p w14:paraId="35ABD556" w14:textId="77777777" w:rsidR="00736376" w:rsidRDefault="00000000">
      <w:pPr>
        <w:spacing w:after="40"/>
      </w:pPr>
      <w:r>
        <w:rPr>
          <w:rFonts w:ascii="Aptos" w:eastAsia="Aptos" w:hAnsi="Aptos"/>
          <w:sz w:val="22"/>
        </w:rPr>
        <w:t>• Semaine 1 à 2 : cadrage opérationnel, analyse de l’existant, collecte documentaire, cartographie des besoins et identification des risques / points d’attention.</w:t>
      </w:r>
    </w:p>
    <w:p w14:paraId="1C240ECC" w14:textId="77777777" w:rsidR="00736376" w:rsidRDefault="00000000">
      <w:pPr>
        <w:spacing w:after="40"/>
      </w:pPr>
      <w:r>
        <w:rPr>
          <w:rFonts w:ascii="Aptos" w:eastAsia="Aptos" w:hAnsi="Aptos"/>
          <w:sz w:val="22"/>
        </w:rPr>
        <w:t>• Mois 1 : contribution aux expressions de besoin, validation des spécifications, préparation de la stratégie de recette et structuration des supports de suivi.</w:t>
      </w:r>
    </w:p>
    <w:p w14:paraId="2E5877AF" w14:textId="77777777" w:rsidR="00736376" w:rsidRDefault="00000000">
      <w:pPr>
        <w:spacing w:after="40"/>
      </w:pPr>
      <w:r>
        <w:rPr>
          <w:rFonts w:ascii="Aptos" w:eastAsia="Aptos" w:hAnsi="Aptos"/>
          <w:sz w:val="22"/>
        </w:rPr>
        <w:t>• Mois 2 à 3 : préparation et exécution des recettes projet / métier, suivi des anomalies, reporting, coordination avec les équipes MOA / DSI-RC et appui aux arbitrages.</w:t>
      </w:r>
    </w:p>
    <w:p w14:paraId="12F44AAB" w14:textId="77777777" w:rsidR="00736376" w:rsidRDefault="00000000">
      <w:pPr>
        <w:spacing w:after="40"/>
      </w:pPr>
      <w:r>
        <w:rPr>
          <w:rFonts w:ascii="Aptos" w:eastAsia="Aptos" w:hAnsi="Aptos"/>
          <w:sz w:val="22"/>
        </w:rPr>
        <w:t>• À partir du mois 3 : accompagnement des déploiements, assistance utilisateurs, capitalisation documentaire, stabilisation des processus et amélioration continue.</w:t>
      </w:r>
    </w:p>
    <w:p w14:paraId="40E150A5" w14:textId="77777777" w:rsidR="00736376" w:rsidRDefault="00000000">
      <w:pPr>
        <w:spacing w:after="40"/>
      </w:pPr>
      <w:r>
        <w:rPr>
          <w:rFonts w:ascii="Aptos" w:eastAsia="Aptos" w:hAnsi="Aptos"/>
          <w:sz w:val="22"/>
        </w:rPr>
        <w:t>• Rythme d’intervention : 5 jours par semaine, dont 3 jours par semaine sur site à Paris, conformément aux attentes du marché.</w:t>
      </w:r>
    </w:p>
    <w:p w14:paraId="1EDFB192" w14:textId="77777777" w:rsidR="00736376" w:rsidRDefault="00000000">
      <w:pPr>
        <w:spacing w:before="200" w:after="120"/>
      </w:pPr>
      <w:r>
        <w:rPr>
          <w:rFonts w:ascii="Aptos" w:eastAsia="Aptos" w:hAnsi="Aptos"/>
          <w:b/>
          <w:color w:val="000000"/>
          <w:sz w:val="26"/>
        </w:rPr>
        <w:t>5. Livrables</w:t>
      </w:r>
    </w:p>
    <w:p w14:paraId="06ABE989" w14:textId="77777777" w:rsidR="00736376" w:rsidRDefault="00000000">
      <w:pPr>
        <w:spacing w:after="40"/>
      </w:pPr>
      <w:r>
        <w:rPr>
          <w:rFonts w:ascii="Aptos" w:eastAsia="Aptos" w:hAnsi="Aptos"/>
          <w:sz w:val="22"/>
        </w:rPr>
        <w:t>• Note de cadrage / synthèse de compréhension du périmètre Bureau Central.</w:t>
      </w:r>
    </w:p>
    <w:p w14:paraId="0C2AE8CA" w14:textId="77777777" w:rsidR="00736376" w:rsidRDefault="00000000">
      <w:pPr>
        <w:spacing w:after="40"/>
      </w:pPr>
      <w:r>
        <w:rPr>
          <w:rFonts w:ascii="Aptos" w:eastAsia="Aptos" w:hAnsi="Aptos"/>
          <w:sz w:val="22"/>
        </w:rPr>
        <w:t>• Expressions de besoin et/ou compléments de cadrage fonctionnel.</w:t>
      </w:r>
    </w:p>
    <w:p w14:paraId="653153D0" w14:textId="77777777" w:rsidR="00736376" w:rsidRDefault="00000000">
      <w:pPr>
        <w:spacing w:after="40"/>
      </w:pPr>
      <w:r>
        <w:rPr>
          <w:rFonts w:ascii="Aptos" w:eastAsia="Aptos" w:hAnsi="Aptos"/>
          <w:sz w:val="22"/>
        </w:rPr>
        <w:t>• Contributions aux spécifications générales et détaillées, avec validation métier.</w:t>
      </w:r>
    </w:p>
    <w:p w14:paraId="306948E0" w14:textId="77777777" w:rsidR="00736376" w:rsidRDefault="00000000">
      <w:pPr>
        <w:spacing w:after="40"/>
      </w:pPr>
      <w:r>
        <w:rPr>
          <w:rFonts w:ascii="Aptos" w:eastAsia="Aptos" w:hAnsi="Aptos"/>
          <w:sz w:val="22"/>
        </w:rPr>
        <w:t>• Stratégie de recette, cahiers de recette, scénarios et cas de tests.</w:t>
      </w:r>
    </w:p>
    <w:p w14:paraId="521D8BF2" w14:textId="77777777" w:rsidR="00736376" w:rsidRDefault="00000000">
      <w:pPr>
        <w:spacing w:after="40"/>
      </w:pPr>
      <w:r>
        <w:rPr>
          <w:rFonts w:ascii="Aptos" w:eastAsia="Aptos" w:hAnsi="Aptos"/>
          <w:sz w:val="22"/>
        </w:rPr>
        <w:t>• Jeux de données, grilles d’exécution et tableaux de suivi des campagnes de recette.</w:t>
      </w:r>
    </w:p>
    <w:p w14:paraId="528EA332" w14:textId="77777777" w:rsidR="00736376" w:rsidRDefault="00000000">
      <w:pPr>
        <w:spacing w:after="40"/>
      </w:pPr>
      <w:r>
        <w:rPr>
          <w:rFonts w:ascii="Aptos" w:eastAsia="Aptos" w:hAnsi="Aptos"/>
          <w:sz w:val="22"/>
        </w:rPr>
        <w:t>• Suivi des anomalies, qualification, priorisation, reporting et tableaux de bord d’avancement.</w:t>
      </w:r>
    </w:p>
    <w:p w14:paraId="45179EAA" w14:textId="77777777" w:rsidR="00736376" w:rsidRDefault="00000000">
      <w:pPr>
        <w:spacing w:after="40"/>
      </w:pPr>
      <w:r>
        <w:rPr>
          <w:rFonts w:ascii="Aptos" w:eastAsia="Aptos" w:hAnsi="Aptos"/>
          <w:sz w:val="22"/>
        </w:rPr>
        <w:t>• Comptes rendus d’ateliers, relevés de décisions, plans d’actions et suivi des risques.</w:t>
      </w:r>
    </w:p>
    <w:p w14:paraId="362EB002" w14:textId="77777777" w:rsidR="00736376" w:rsidRDefault="00000000">
      <w:pPr>
        <w:spacing w:after="40"/>
      </w:pPr>
      <w:r>
        <w:rPr>
          <w:rFonts w:ascii="Aptos" w:eastAsia="Aptos" w:hAnsi="Aptos"/>
          <w:sz w:val="22"/>
        </w:rPr>
        <w:lastRenderedPageBreak/>
        <w:t>• Supports de documentation MOA, modes opératoires, supports d’assistance ou de formation utilisateurs.</w:t>
      </w:r>
    </w:p>
    <w:p w14:paraId="382304CF" w14:textId="77777777" w:rsidR="00736376" w:rsidRDefault="00000000">
      <w:pPr>
        <w:spacing w:after="40"/>
      </w:pPr>
      <w:r>
        <w:rPr>
          <w:rFonts w:ascii="Aptos" w:eastAsia="Aptos" w:hAnsi="Aptos"/>
          <w:sz w:val="22"/>
        </w:rPr>
        <w:t>• Bilan de recette / PV de validation fonctionnelle selon les attendus de l’équipe projet.</w:t>
      </w:r>
    </w:p>
    <w:p w14:paraId="327C4900" w14:textId="77777777" w:rsidR="00736376" w:rsidRDefault="00000000">
      <w:pPr>
        <w:spacing w:before="200" w:after="120"/>
      </w:pPr>
      <w:r>
        <w:rPr>
          <w:rFonts w:ascii="Aptos" w:eastAsia="Aptos" w:hAnsi="Aptos"/>
          <w:b/>
          <w:color w:val="000000"/>
          <w:sz w:val="32"/>
        </w:rPr>
        <w:t>IV – Nos Références</w:t>
      </w:r>
    </w:p>
    <w:p w14:paraId="650949A2" w14:textId="77777777" w:rsidR="00736376" w:rsidRDefault="00000000">
      <w:pPr>
        <w:spacing w:after="100" w:line="252" w:lineRule="auto"/>
      </w:pPr>
      <w:r>
        <w:rPr>
          <w:rFonts w:ascii="Aptos" w:eastAsia="Aptos" w:hAnsi="Aptos"/>
          <w:b/>
          <w:color w:val="C00000"/>
          <w:sz w:val="22"/>
        </w:rPr>
        <w:t>CNAM, 2024-2025 – Consultant AMOA</w:t>
      </w:r>
    </w:p>
    <w:p w14:paraId="305AB461" w14:textId="77777777" w:rsidR="00736376" w:rsidRDefault="00000000">
      <w:pPr>
        <w:spacing w:after="100" w:line="252" w:lineRule="auto"/>
      </w:pPr>
      <w:r>
        <w:rPr>
          <w:rFonts w:ascii="Aptos" w:eastAsia="Aptos" w:hAnsi="Aptos"/>
          <w:sz w:val="20"/>
        </w:rPr>
        <w:t>Recette fonctionnelle du SI de gestion des contrats liant la CNAM aux offreurs de soin : valorisation des jeux de données, exécution des campagnes de test, suivi des anomalies et reporting.</w:t>
      </w:r>
    </w:p>
    <w:p w14:paraId="22C6AFA0" w14:textId="77777777" w:rsidR="00736376" w:rsidRDefault="00000000">
      <w:pPr>
        <w:spacing w:after="100" w:line="252" w:lineRule="auto"/>
      </w:pPr>
      <w:r>
        <w:rPr>
          <w:rFonts w:ascii="Aptos" w:eastAsia="Aptos" w:hAnsi="Aptos"/>
          <w:b/>
          <w:color w:val="C00000"/>
          <w:sz w:val="22"/>
        </w:rPr>
        <w:t>PRO BTP, 2024 – Consultant AMOA</w:t>
      </w:r>
    </w:p>
    <w:p w14:paraId="3B4C646B" w14:textId="77777777" w:rsidR="00736376" w:rsidRDefault="00000000">
      <w:pPr>
        <w:spacing w:after="100" w:line="252" w:lineRule="auto"/>
      </w:pPr>
      <w:r>
        <w:rPr>
          <w:rFonts w:ascii="Aptos" w:eastAsia="Aptos" w:hAnsi="Aptos"/>
          <w:sz w:val="20"/>
        </w:rPr>
        <w:t>Intervention dans un groupe majeur de protection sociale sur les outils de souscription : assistance utilisateurs, amélioration de la prise en charge des incidents, méthodologie de recette Squash TM, coordination des anomalies.</w:t>
      </w:r>
    </w:p>
    <w:p w14:paraId="7CB527CC" w14:textId="77777777" w:rsidR="00736376" w:rsidRDefault="00000000">
      <w:pPr>
        <w:spacing w:after="100" w:line="252" w:lineRule="auto"/>
      </w:pPr>
      <w:r>
        <w:rPr>
          <w:rFonts w:ascii="Aptos" w:eastAsia="Aptos" w:hAnsi="Aptos"/>
          <w:b/>
          <w:color w:val="C00000"/>
          <w:sz w:val="22"/>
        </w:rPr>
        <w:t>MGEN, 2023 – Consultant AMOA</w:t>
      </w:r>
    </w:p>
    <w:p w14:paraId="4CC4AF86" w14:textId="77777777" w:rsidR="00736376" w:rsidRDefault="00000000">
      <w:pPr>
        <w:spacing w:after="100" w:line="252" w:lineRule="auto"/>
      </w:pPr>
      <w:r>
        <w:rPr>
          <w:rFonts w:ascii="Aptos" w:eastAsia="Aptos" w:hAnsi="Aptos"/>
          <w:sz w:val="20"/>
        </w:rPr>
        <w:t>Projet PSC de remplacement d’applicatif : campagnes de tests HP ALM, valorisation des jeux de données, exécution des campagnes et reporting dans un contexte contrats collectifs et affiliations.</w:t>
      </w:r>
    </w:p>
    <w:p w14:paraId="308E8F9B" w14:textId="77777777" w:rsidR="00736376" w:rsidRDefault="00000000">
      <w:pPr>
        <w:spacing w:after="100" w:line="252" w:lineRule="auto"/>
      </w:pPr>
      <w:r>
        <w:rPr>
          <w:rFonts w:ascii="Aptos" w:eastAsia="Aptos" w:hAnsi="Aptos"/>
          <w:b/>
          <w:color w:val="C00000"/>
          <w:sz w:val="22"/>
        </w:rPr>
        <w:t>SESAN, 2022-2023 – Consultant AMOA</w:t>
      </w:r>
    </w:p>
    <w:p w14:paraId="682804AC" w14:textId="77777777" w:rsidR="00736376" w:rsidRDefault="00000000">
      <w:pPr>
        <w:spacing w:after="100" w:line="252" w:lineRule="auto"/>
      </w:pPr>
      <w:r>
        <w:rPr>
          <w:rFonts w:ascii="Aptos" w:eastAsia="Aptos" w:hAnsi="Aptos"/>
          <w:sz w:val="20"/>
        </w:rPr>
        <w:t>Plateforme numérique de coordination santé : conception des plans de tests, intégration Squash TM, suivi des anomalies, reporting et amélioration continue de la cellule recette.</w:t>
      </w:r>
    </w:p>
    <w:p w14:paraId="624832BE" w14:textId="77777777" w:rsidR="00736376" w:rsidRDefault="00000000">
      <w:pPr>
        <w:spacing w:after="100" w:line="252" w:lineRule="auto"/>
      </w:pPr>
      <w:r>
        <w:rPr>
          <w:rFonts w:ascii="Aptos" w:eastAsia="Aptos" w:hAnsi="Aptos"/>
          <w:b/>
          <w:color w:val="C00000"/>
          <w:sz w:val="22"/>
        </w:rPr>
        <w:t>LA CIPAV, 2021 – Consultant AMOA</w:t>
      </w:r>
    </w:p>
    <w:p w14:paraId="06CF9152" w14:textId="77777777" w:rsidR="00736376" w:rsidRDefault="00000000">
      <w:pPr>
        <w:spacing w:after="100" w:line="252" w:lineRule="auto"/>
      </w:pPr>
      <w:r>
        <w:rPr>
          <w:rFonts w:ascii="Aptos" w:eastAsia="Aptos" w:hAnsi="Aptos"/>
          <w:sz w:val="20"/>
        </w:rPr>
        <w:t>Projet RGCU : rédaction de l’expression de besoins, formalisation des spécificités de régime, définition des flux Norme R, rédaction de SFD et coordination MOE / CNAV / URSSAF CN.</w:t>
      </w:r>
    </w:p>
    <w:p w14:paraId="6406B8A6" w14:textId="77777777" w:rsidR="00736376" w:rsidRDefault="00000000">
      <w:pPr>
        <w:spacing w:after="100" w:line="252" w:lineRule="auto"/>
      </w:pPr>
      <w:r>
        <w:rPr>
          <w:rFonts w:ascii="Aptos" w:eastAsia="Aptos" w:hAnsi="Aptos"/>
          <w:b/>
          <w:color w:val="C00000"/>
          <w:sz w:val="22"/>
        </w:rPr>
        <w:t>GIP-MDS, 2021 – Consultant AMOA / Expertise DSN</w:t>
      </w:r>
    </w:p>
    <w:p w14:paraId="70E6AB8B" w14:textId="77777777" w:rsidR="00736376" w:rsidRDefault="00000000">
      <w:pPr>
        <w:spacing w:after="100" w:line="252" w:lineRule="auto"/>
      </w:pPr>
      <w:r>
        <w:rPr>
          <w:rFonts w:ascii="Aptos" w:eastAsia="Aptos" w:hAnsi="Aptos"/>
          <w:sz w:val="20"/>
        </w:rPr>
        <w:t>MOA opérationnelle en contexte multipartenaires : instruction des besoins, notes de cadrage, études d’impact, spécifications de norme, fiches consignes et support utilisateurs N3.</w:t>
      </w:r>
    </w:p>
    <w:p w14:paraId="5C4FDB45" w14:textId="77777777" w:rsidR="00736376" w:rsidRDefault="00000000">
      <w:pPr>
        <w:spacing w:after="100" w:line="252" w:lineRule="auto"/>
      </w:pPr>
      <w:r>
        <w:rPr>
          <w:rFonts w:ascii="Aptos" w:eastAsia="Aptos" w:hAnsi="Aptos"/>
          <w:b/>
          <w:color w:val="C00000"/>
          <w:sz w:val="22"/>
        </w:rPr>
        <w:t>MALAKOFF MÉDÉRIC, 2013-2014 – Consultant AMOA</w:t>
      </w:r>
    </w:p>
    <w:p w14:paraId="7E9BD5EE" w14:textId="77777777" w:rsidR="00736376" w:rsidRDefault="00000000">
      <w:pPr>
        <w:spacing w:after="100" w:line="252" w:lineRule="auto"/>
      </w:pPr>
      <w:r>
        <w:rPr>
          <w:rFonts w:ascii="Aptos" w:eastAsia="Aptos" w:hAnsi="Aptos"/>
          <w:sz w:val="20"/>
        </w:rPr>
        <w:t>Exploitation de la brique ALLURE dans le cadre du programme Usine Retraite porté par les fédérations Agirc / Arrco : support fonctionnel Back Office, assistance post-démarrage, analyse des demandes, remontées d’évolutions et rationalisation des processus.</w:t>
      </w:r>
    </w:p>
    <w:p w14:paraId="3B6B12EF" w14:textId="77777777" w:rsidR="00736376" w:rsidRDefault="00000000">
      <w:pPr>
        <w:spacing w:after="100" w:line="252" w:lineRule="auto"/>
      </w:pPr>
      <w:r>
        <w:rPr>
          <w:rFonts w:ascii="Aptos" w:eastAsia="Aptos" w:hAnsi="Aptos"/>
          <w:b/>
          <w:color w:val="C00000"/>
          <w:sz w:val="22"/>
        </w:rPr>
        <w:t>SYSTALIANS / ALCARA, 2009-2013 – Consultant QA</w:t>
      </w:r>
    </w:p>
    <w:p w14:paraId="15C21DE3" w14:textId="77777777" w:rsidR="00736376" w:rsidRDefault="00000000">
      <w:pPr>
        <w:spacing w:after="100" w:line="252" w:lineRule="auto"/>
      </w:pPr>
      <w:r>
        <w:rPr>
          <w:rFonts w:ascii="Aptos" w:eastAsia="Aptos" w:hAnsi="Aptos"/>
          <w:sz w:val="20"/>
        </w:rPr>
        <w:t>ALLURE / Usine Retraite / Brique Prestations : qualification fonctionnelle, scénarios de test, jeux d’essai, suivi des anomalies, reporting, méthodologie Quality Center, documentation, formation et transfert de compétences sur le périmètre paiement des retraites Arrco / Agirc.</w:t>
      </w:r>
    </w:p>
    <w:p w14:paraId="530156BE" w14:textId="77777777" w:rsidR="00736376" w:rsidRDefault="00000000">
      <w:pPr>
        <w:spacing w:after="100" w:line="252" w:lineRule="auto"/>
        <w:jc w:val="center"/>
      </w:pPr>
      <w:r>
        <w:rPr>
          <w:rFonts w:ascii="Aptos" w:eastAsia="Aptos" w:hAnsi="Aptos"/>
          <w:b/>
        </w:rPr>
        <w:t>Fin de document</w:t>
      </w:r>
    </w:p>
    <w:sectPr w:rsidR="00736376" w:rsidSect="00B9181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D564D" w14:textId="77777777" w:rsidR="00E033C5" w:rsidRDefault="00E033C5" w:rsidP="008E07A3">
      <w:pPr>
        <w:spacing w:after="0" w:line="240" w:lineRule="auto"/>
      </w:pPr>
      <w:r>
        <w:separator/>
      </w:r>
    </w:p>
  </w:endnote>
  <w:endnote w:type="continuationSeparator" w:id="0">
    <w:p w14:paraId="4701A6DA" w14:textId="77777777" w:rsidR="00E033C5" w:rsidRDefault="00E033C5" w:rsidP="008E0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90523"/>
      <w:docPartObj>
        <w:docPartGallery w:val="Page Numbers (Bottom of Page)"/>
        <w:docPartUnique/>
      </w:docPartObj>
    </w:sdtPr>
    <w:sdtContent>
      <w:p w14:paraId="29A75A4B" w14:textId="16931C9D" w:rsidR="00F20569" w:rsidRDefault="00F20569">
        <w:pPr>
          <w:pStyle w:val="Pieddepage"/>
          <w:jc w:val="right"/>
        </w:pPr>
        <w:r>
          <w:fldChar w:fldCharType="begin"/>
        </w:r>
        <w:r>
          <w:instrText>PAGE   \* MERGEFORMAT</w:instrText>
        </w:r>
        <w:r>
          <w:fldChar w:fldCharType="separate"/>
        </w:r>
        <w:r>
          <w:t>2</w:t>
        </w:r>
        <w:r>
          <w:fldChar w:fldCharType="end"/>
        </w:r>
      </w:p>
    </w:sdtContent>
  </w:sdt>
  <w:p w14:paraId="7A4C8748" w14:textId="4196F629" w:rsidR="008E07A3" w:rsidRDefault="00F20569">
    <w:pPr>
      <w:pStyle w:val="Pieddepage"/>
    </w:pPr>
    <w:r>
      <w:rPr>
        <w:rFonts w:ascii="Aptos" w:eastAsia="Aptos" w:hAnsi="Aptos"/>
        <w:sz w:val="20"/>
      </w:rPr>
      <w:t>Dossier de candidature FASTOR – OHU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77C69" w14:textId="77777777" w:rsidR="00E033C5" w:rsidRDefault="00E033C5" w:rsidP="008E07A3">
      <w:pPr>
        <w:spacing w:after="0" w:line="240" w:lineRule="auto"/>
      </w:pPr>
      <w:r>
        <w:separator/>
      </w:r>
    </w:p>
  </w:footnote>
  <w:footnote w:type="continuationSeparator" w:id="0">
    <w:p w14:paraId="1530875C" w14:textId="77777777" w:rsidR="00E033C5" w:rsidRDefault="00E033C5" w:rsidP="008E0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22E5" w14:textId="24268411" w:rsidR="00437F59" w:rsidRDefault="005C7B88">
    <w:pPr>
      <w:pStyle w:val="En-tte"/>
    </w:pPr>
    <w:r>
      <w:rPr>
        <w:noProof/>
      </w:rPr>
      <w:drawing>
        <wp:anchor distT="0" distB="0" distL="114300" distR="114300" simplePos="0" relativeHeight="251661312" behindDoc="1" locked="0" layoutInCell="1" allowOverlap="1" wp14:anchorId="52C3491E" wp14:editId="080DF199">
          <wp:simplePos x="0" y="0"/>
          <wp:positionH relativeFrom="margin">
            <wp:align>left</wp:align>
          </wp:positionH>
          <wp:positionV relativeFrom="paragraph">
            <wp:posOffset>-430530</wp:posOffset>
          </wp:positionV>
          <wp:extent cx="1476375" cy="811530"/>
          <wp:effectExtent l="0" t="0" r="0" b="0"/>
          <wp:wrapTight wrapText="bothSides">
            <wp:wrapPolygon edited="0">
              <wp:start x="8361" y="4056"/>
              <wp:lineTo x="2508" y="6592"/>
              <wp:lineTo x="1394" y="8113"/>
              <wp:lineTo x="1394" y="14704"/>
              <wp:lineTo x="15608" y="19268"/>
              <wp:lineTo x="19510" y="19268"/>
              <wp:lineTo x="20625" y="8620"/>
              <wp:lineTo x="18395" y="7099"/>
              <wp:lineTo x="10591" y="4056"/>
              <wp:lineTo x="8361" y="4056"/>
            </wp:wrapPolygon>
          </wp:wrapTight>
          <wp:docPr id="20129092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09261" name="Image 2012909261"/>
                  <pic:cNvPicPr/>
                </pic:nvPicPr>
                <pic:blipFill>
                  <a:blip r:embed="rId1">
                    <a:extLst>
                      <a:ext uri="{28A0092B-C50C-407E-A947-70E740481C1C}">
                        <a14:useLocalDpi xmlns:a14="http://schemas.microsoft.com/office/drawing/2010/main" val="0"/>
                      </a:ext>
                    </a:extLst>
                  </a:blip>
                  <a:stretch>
                    <a:fillRect/>
                  </a:stretch>
                </pic:blipFill>
                <pic:spPr>
                  <a:xfrm>
                    <a:off x="0" y="0"/>
                    <a:ext cx="1477970" cy="8130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95345EB" wp14:editId="66076094">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0" y="0"/>
              <wp:lineTo x="0" y="20626"/>
              <wp:lineTo x="21300" y="20626"/>
              <wp:lineTo x="21300" y="0"/>
              <wp:lineTo x="0" y="0"/>
            </wp:wrapPolygon>
          </wp:wrapTight>
          <wp:docPr id="7092178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7A3" w:rsidRPr="008E07A3">
      <w:t xml:space="preserve"> </w:t>
    </w:r>
    <w:r w:rsidR="008E07A3">
      <w:t xml:space="preserve">    </w:t>
    </w:r>
    <w:r w:rsidR="00B91811">
      <w:t xml:space="preserve">                                                                                                </w:t>
    </w:r>
    <w:r w:rsidR="008E07A3">
      <w:t xml:space="preserve">        </w:t>
    </w:r>
  </w:p>
  <w:p w14:paraId="2744C7B4" w14:textId="1755AC23" w:rsidR="008E07A3" w:rsidRDefault="008E07A3">
    <w:pPr>
      <w:pStyle w:val="En-tte"/>
    </w:pPr>
    <w:r>
      <w:t xml:space="preserve">          </w:t>
    </w:r>
    <w:r w:rsidR="00B91811">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2C5F"/>
      </v:shape>
    </w:pict>
  </w:numPicBullet>
  <w:abstractNum w:abstractNumId="0" w15:restartNumberingAfterBreak="0">
    <w:nsid w:val="025808BD"/>
    <w:multiLevelType w:val="hybridMultilevel"/>
    <w:tmpl w:val="F5567514"/>
    <w:lvl w:ilvl="0" w:tplc="9C8066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83B7279"/>
    <w:multiLevelType w:val="multilevel"/>
    <w:tmpl w:val="C90C5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8B16FB"/>
    <w:multiLevelType w:val="hybridMultilevel"/>
    <w:tmpl w:val="B484AB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22D0CBC"/>
    <w:multiLevelType w:val="multilevel"/>
    <w:tmpl w:val="8574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11A99"/>
    <w:multiLevelType w:val="multilevel"/>
    <w:tmpl w:val="451A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31A62"/>
    <w:multiLevelType w:val="hybridMultilevel"/>
    <w:tmpl w:val="BE10E2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A43480"/>
    <w:multiLevelType w:val="hybridMultilevel"/>
    <w:tmpl w:val="879AA5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D7E1827"/>
    <w:multiLevelType w:val="hybridMultilevel"/>
    <w:tmpl w:val="34DC6DA8"/>
    <w:lvl w:ilvl="0" w:tplc="497CA8E6">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8240A7"/>
    <w:multiLevelType w:val="multilevel"/>
    <w:tmpl w:val="160AC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D078EC"/>
    <w:multiLevelType w:val="multilevel"/>
    <w:tmpl w:val="A004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B03ED"/>
    <w:multiLevelType w:val="hybridMultilevel"/>
    <w:tmpl w:val="A678F6A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64741291"/>
    <w:multiLevelType w:val="hybridMultilevel"/>
    <w:tmpl w:val="C69E441C"/>
    <w:lvl w:ilvl="0" w:tplc="679EA5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943763"/>
    <w:multiLevelType w:val="hybridMultilevel"/>
    <w:tmpl w:val="239EC2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E92D5E"/>
    <w:multiLevelType w:val="hybridMultilevel"/>
    <w:tmpl w:val="14DA775E"/>
    <w:lvl w:ilvl="0" w:tplc="934AE79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8E70999"/>
    <w:multiLevelType w:val="hybridMultilevel"/>
    <w:tmpl w:val="D346B8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1363568">
    <w:abstractNumId w:val="12"/>
  </w:num>
  <w:num w:numId="2" w16cid:durableId="411240234">
    <w:abstractNumId w:val="14"/>
  </w:num>
  <w:num w:numId="3" w16cid:durableId="119737226">
    <w:abstractNumId w:val="10"/>
  </w:num>
  <w:num w:numId="4" w16cid:durableId="1977760976">
    <w:abstractNumId w:val="11"/>
  </w:num>
  <w:num w:numId="5" w16cid:durableId="1654290935">
    <w:abstractNumId w:val="6"/>
  </w:num>
  <w:num w:numId="6" w16cid:durableId="1719470845">
    <w:abstractNumId w:val="5"/>
  </w:num>
  <w:num w:numId="7" w16cid:durableId="1292635021">
    <w:abstractNumId w:val="0"/>
  </w:num>
  <w:num w:numId="8" w16cid:durableId="1709528277">
    <w:abstractNumId w:val="2"/>
  </w:num>
  <w:num w:numId="9" w16cid:durableId="1002007016">
    <w:abstractNumId w:val="7"/>
  </w:num>
  <w:num w:numId="10" w16cid:durableId="367797301">
    <w:abstractNumId w:val="13"/>
  </w:num>
  <w:num w:numId="11" w16cid:durableId="1901163406">
    <w:abstractNumId w:val="3"/>
  </w:num>
  <w:num w:numId="12" w16cid:durableId="684013375">
    <w:abstractNumId w:val="8"/>
  </w:num>
  <w:num w:numId="13" w16cid:durableId="829255836">
    <w:abstractNumId w:val="1"/>
  </w:num>
  <w:num w:numId="14" w16cid:durableId="1920826811">
    <w:abstractNumId w:val="9"/>
  </w:num>
  <w:num w:numId="15" w16cid:durableId="45224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A3"/>
    <w:rsid w:val="00001BEE"/>
    <w:rsid w:val="00044142"/>
    <w:rsid w:val="000934C2"/>
    <w:rsid w:val="000A26C2"/>
    <w:rsid w:val="000A75E0"/>
    <w:rsid w:val="000B43F6"/>
    <w:rsid w:val="00235451"/>
    <w:rsid w:val="002D47AE"/>
    <w:rsid w:val="002D53CB"/>
    <w:rsid w:val="003304C1"/>
    <w:rsid w:val="003547E8"/>
    <w:rsid w:val="003C6F94"/>
    <w:rsid w:val="00437F59"/>
    <w:rsid w:val="00440982"/>
    <w:rsid w:val="00511CEF"/>
    <w:rsid w:val="005C7757"/>
    <w:rsid w:val="005C7B88"/>
    <w:rsid w:val="00680BEC"/>
    <w:rsid w:val="006D4026"/>
    <w:rsid w:val="00703000"/>
    <w:rsid w:val="00735DC6"/>
    <w:rsid w:val="00736376"/>
    <w:rsid w:val="00737B46"/>
    <w:rsid w:val="00766A5B"/>
    <w:rsid w:val="00773B31"/>
    <w:rsid w:val="007E6354"/>
    <w:rsid w:val="008352D9"/>
    <w:rsid w:val="008E07A3"/>
    <w:rsid w:val="008E1F34"/>
    <w:rsid w:val="0094786C"/>
    <w:rsid w:val="00997F8D"/>
    <w:rsid w:val="00A356B4"/>
    <w:rsid w:val="00A62EA1"/>
    <w:rsid w:val="00AB71EE"/>
    <w:rsid w:val="00AE7604"/>
    <w:rsid w:val="00B91811"/>
    <w:rsid w:val="00CC0DE0"/>
    <w:rsid w:val="00CE2BD3"/>
    <w:rsid w:val="00D1055F"/>
    <w:rsid w:val="00E033C5"/>
    <w:rsid w:val="00E3683D"/>
    <w:rsid w:val="00ED2C01"/>
    <w:rsid w:val="00F20569"/>
    <w:rsid w:val="00F830B8"/>
    <w:rsid w:val="00F943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198D6"/>
  <w15:chartTrackingRefBased/>
  <w15:docId w15:val="{5881C68B-052C-410C-8E18-9FAC8D4C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0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0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07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07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7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7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7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7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7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7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07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07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07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07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07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7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7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7A3"/>
    <w:rPr>
      <w:rFonts w:eastAsiaTheme="majorEastAsia" w:cstheme="majorBidi"/>
      <w:color w:val="272727" w:themeColor="text1" w:themeTint="D8"/>
    </w:rPr>
  </w:style>
  <w:style w:type="paragraph" w:styleId="Titre">
    <w:name w:val="Title"/>
    <w:basedOn w:val="Normal"/>
    <w:next w:val="Normal"/>
    <w:link w:val="TitreCar"/>
    <w:uiPriority w:val="10"/>
    <w:qFormat/>
    <w:rsid w:val="008E0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07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7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07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7A3"/>
    <w:pPr>
      <w:spacing w:before="160"/>
      <w:jc w:val="center"/>
    </w:pPr>
    <w:rPr>
      <w:i/>
      <w:iCs/>
      <w:color w:val="404040" w:themeColor="text1" w:themeTint="BF"/>
    </w:rPr>
  </w:style>
  <w:style w:type="character" w:customStyle="1" w:styleId="CitationCar">
    <w:name w:val="Citation Car"/>
    <w:basedOn w:val="Policepardfaut"/>
    <w:link w:val="Citation"/>
    <w:uiPriority w:val="29"/>
    <w:rsid w:val="008E07A3"/>
    <w:rPr>
      <w:i/>
      <w:iCs/>
      <w:color w:val="404040" w:themeColor="text1" w:themeTint="BF"/>
    </w:rPr>
  </w:style>
  <w:style w:type="paragraph" w:styleId="Paragraphedeliste">
    <w:name w:val="List Paragraph"/>
    <w:basedOn w:val="Normal"/>
    <w:uiPriority w:val="34"/>
    <w:qFormat/>
    <w:rsid w:val="008E07A3"/>
    <w:pPr>
      <w:ind w:left="720"/>
      <w:contextualSpacing/>
    </w:pPr>
  </w:style>
  <w:style w:type="character" w:styleId="Accentuationintense">
    <w:name w:val="Intense Emphasis"/>
    <w:basedOn w:val="Policepardfaut"/>
    <w:uiPriority w:val="21"/>
    <w:qFormat/>
    <w:rsid w:val="008E07A3"/>
    <w:rPr>
      <w:i/>
      <w:iCs/>
      <w:color w:val="0F4761" w:themeColor="accent1" w:themeShade="BF"/>
    </w:rPr>
  </w:style>
  <w:style w:type="paragraph" w:styleId="Citationintense">
    <w:name w:val="Intense Quote"/>
    <w:basedOn w:val="Normal"/>
    <w:next w:val="Normal"/>
    <w:link w:val="CitationintenseCar"/>
    <w:uiPriority w:val="30"/>
    <w:qFormat/>
    <w:rsid w:val="008E0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07A3"/>
    <w:rPr>
      <w:i/>
      <w:iCs/>
      <w:color w:val="0F4761" w:themeColor="accent1" w:themeShade="BF"/>
    </w:rPr>
  </w:style>
  <w:style w:type="character" w:styleId="Rfrenceintense">
    <w:name w:val="Intense Reference"/>
    <w:basedOn w:val="Policepardfaut"/>
    <w:uiPriority w:val="32"/>
    <w:qFormat/>
    <w:rsid w:val="008E07A3"/>
    <w:rPr>
      <w:b/>
      <w:bCs/>
      <w:smallCaps/>
      <w:color w:val="0F4761" w:themeColor="accent1" w:themeShade="BF"/>
      <w:spacing w:val="5"/>
    </w:rPr>
  </w:style>
  <w:style w:type="paragraph" w:styleId="En-tte">
    <w:name w:val="header"/>
    <w:basedOn w:val="Normal"/>
    <w:link w:val="En-tteCar"/>
    <w:uiPriority w:val="99"/>
    <w:unhideWhenUsed/>
    <w:rsid w:val="008E07A3"/>
    <w:pPr>
      <w:tabs>
        <w:tab w:val="center" w:pos="4536"/>
        <w:tab w:val="right" w:pos="9072"/>
      </w:tabs>
      <w:spacing w:after="0" w:line="240" w:lineRule="auto"/>
    </w:pPr>
  </w:style>
  <w:style w:type="character" w:customStyle="1" w:styleId="En-tteCar">
    <w:name w:val="En-tête Car"/>
    <w:basedOn w:val="Policepardfaut"/>
    <w:link w:val="En-tte"/>
    <w:uiPriority w:val="99"/>
    <w:rsid w:val="008E07A3"/>
  </w:style>
  <w:style w:type="paragraph" w:styleId="Pieddepage">
    <w:name w:val="footer"/>
    <w:basedOn w:val="Normal"/>
    <w:link w:val="PieddepageCar"/>
    <w:uiPriority w:val="99"/>
    <w:unhideWhenUsed/>
    <w:rsid w:val="008E07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07A3"/>
  </w:style>
  <w:style w:type="paragraph" w:styleId="En-ttedetabledesmatires">
    <w:name w:val="TOC Heading"/>
    <w:basedOn w:val="Titre1"/>
    <w:next w:val="Normal"/>
    <w:uiPriority w:val="39"/>
    <w:unhideWhenUsed/>
    <w:qFormat/>
    <w:rsid w:val="008E1F34"/>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8E1F34"/>
    <w:pPr>
      <w:spacing w:after="100"/>
    </w:pPr>
  </w:style>
  <w:style w:type="character" w:styleId="Lienhypertexte">
    <w:name w:val="Hyperlink"/>
    <w:basedOn w:val="Policepardfaut"/>
    <w:uiPriority w:val="99"/>
    <w:unhideWhenUsed/>
    <w:rsid w:val="008E1F34"/>
    <w:rPr>
      <w:color w:val="467886" w:themeColor="hyperlink"/>
      <w:u w:val="single"/>
    </w:rPr>
  </w:style>
  <w:style w:type="paragraph" w:styleId="TM2">
    <w:name w:val="toc 2"/>
    <w:basedOn w:val="Normal"/>
    <w:next w:val="Normal"/>
    <w:autoRedefine/>
    <w:uiPriority w:val="39"/>
    <w:unhideWhenUsed/>
    <w:rsid w:val="00AB71EE"/>
    <w:pPr>
      <w:spacing w:after="100"/>
      <w:ind w:left="240"/>
    </w:pPr>
  </w:style>
  <w:style w:type="paragraph" w:styleId="TM3">
    <w:name w:val="toc 3"/>
    <w:basedOn w:val="Normal"/>
    <w:next w:val="Normal"/>
    <w:autoRedefine/>
    <w:uiPriority w:val="39"/>
    <w:unhideWhenUsed/>
    <w:rsid w:val="00AB71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7A7FE-2421-4E44-BC61-C7A81D5A21C4}">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CD713E7A-3922-4B75-9873-FD146078F149}">
  <ds:schemaRefs>
    <ds:schemaRef ds:uri="http://schemas.microsoft.com/sharepoint/v3/contenttype/forms"/>
  </ds:schemaRefs>
</ds:datastoreItem>
</file>

<file path=customXml/itemProps3.xml><?xml version="1.0" encoding="utf-8"?>
<ds:datastoreItem xmlns:ds="http://schemas.openxmlformats.org/officeDocument/2006/customXml" ds:itemID="{0046BBC0-CEBF-4C4A-90B7-3D4F62968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DC874-DBC0-45C8-BBFC-1F433A42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1772</Words>
  <Characters>9749</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Oriol</dc:creator>
  <cp:keywords/>
  <dc:description/>
  <cp:lastModifiedBy>David Vandenborght</cp:lastModifiedBy>
  <cp:revision>13</cp:revision>
  <cp:lastPrinted>2026-06-09T11:24:00Z</cp:lastPrinted>
  <dcterms:created xsi:type="dcterms:W3CDTF">2025-07-22T08:22:00Z</dcterms:created>
  <dcterms:modified xsi:type="dcterms:W3CDTF">2026-06-09T11:33:00Z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