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C8122" w14:textId="77777777" w:rsidR="00CE14DF" w:rsidRDefault="00CE14DF">
      <w:pPr>
        <w:spacing w:after="1200" w:line="252" w:lineRule="auto"/>
      </w:pPr>
    </w:p>
    <w:p w14:paraId="49D2FB8C" w14:textId="77777777" w:rsidR="00CE14DF" w:rsidRDefault="00000000">
      <w:pPr>
        <w:spacing w:after="80" w:line="252" w:lineRule="auto"/>
        <w:jc w:val="center"/>
      </w:pPr>
      <w:r>
        <w:rPr>
          <w:b/>
          <w:sz w:val="44"/>
        </w:rPr>
        <w:t>Fédération AGIRC-ARRCO</w:t>
      </w:r>
    </w:p>
    <w:p w14:paraId="3E090FFD" w14:textId="77777777" w:rsidR="00CE14DF" w:rsidRDefault="00000000">
      <w:pPr>
        <w:spacing w:after="280" w:line="252" w:lineRule="auto"/>
        <w:jc w:val="center"/>
      </w:pPr>
      <w:r>
        <w:rPr>
          <w:b/>
          <w:color w:val="C00000"/>
          <w:sz w:val="32"/>
        </w:rPr>
        <w:t>2026-02-FME-019</w:t>
      </w:r>
    </w:p>
    <w:p w14:paraId="7CB7267D" w14:textId="77777777" w:rsidR="00CE14DF" w:rsidRDefault="00000000">
      <w:pPr>
        <w:spacing w:after="80" w:line="252" w:lineRule="auto"/>
        <w:jc w:val="center"/>
      </w:pPr>
      <w:r>
        <w:rPr>
          <w:b/>
          <w:sz w:val="32"/>
        </w:rPr>
        <w:t>Assistance au pilotage Suivi de Production Métier – Outils informatiques DSN</w:t>
      </w:r>
    </w:p>
    <w:p w14:paraId="194C717D" w14:textId="77777777" w:rsidR="00CE14DF" w:rsidRDefault="00CE14DF">
      <w:pPr>
        <w:spacing w:after="480" w:line="252" w:lineRule="auto"/>
      </w:pPr>
    </w:p>
    <w:p w14:paraId="24AA876D" w14:textId="77777777" w:rsidR="00CE14DF" w:rsidRDefault="00000000">
      <w:pPr>
        <w:spacing w:after="80" w:line="252" w:lineRule="auto"/>
        <w:jc w:val="center"/>
      </w:pPr>
      <w:r>
        <w:rPr>
          <w:b/>
          <w:sz w:val="28"/>
        </w:rPr>
        <w:t>Dossier de candidature FASTOR GIE – Profil OHU</w:t>
      </w:r>
    </w:p>
    <w:p w14:paraId="3D1A3139" w14:textId="77777777" w:rsidR="00CE14DF" w:rsidRDefault="00000000">
      <w:pPr>
        <w:spacing w:after="80" w:line="252" w:lineRule="auto"/>
        <w:jc w:val="center"/>
      </w:pPr>
      <w:r>
        <w:rPr>
          <w:i/>
          <w:sz w:val="26"/>
        </w:rPr>
        <w:t>Consultant AMOA Senior – Suivi de Production Métier DSN / Protection sociale / Retraite complémentaire</w:t>
      </w:r>
    </w:p>
    <w:p w14:paraId="30DF1C45" w14:textId="77777777" w:rsidR="00CE14DF" w:rsidRDefault="00CE14DF">
      <w:pPr>
        <w:spacing w:after="480" w:line="252" w:lineRule="auto"/>
      </w:pPr>
    </w:p>
    <w:p w14:paraId="7A4C3E42" w14:textId="77777777" w:rsidR="00CE14DF" w:rsidRDefault="00000000">
      <w:pPr>
        <w:spacing w:after="80" w:line="252" w:lineRule="auto"/>
        <w:jc w:val="center"/>
      </w:pPr>
      <w:r>
        <w:rPr>
          <w:b/>
        </w:rPr>
        <w:t>Disponibilité : 1er juillet 2026 | Modalité : 5 jours / semaine | TJM proposé : 690 € HT / jour</w:t>
      </w:r>
    </w:p>
    <w:p w14:paraId="59FD56D9" w14:textId="77777777" w:rsidR="00CE14DF" w:rsidRDefault="00000000">
      <w:r>
        <w:br w:type="page"/>
      </w:r>
    </w:p>
    <w:p w14:paraId="66F999D2" w14:textId="77777777" w:rsidR="00CE14DF" w:rsidRDefault="00000000">
      <w:pPr>
        <w:spacing w:after="80" w:line="252" w:lineRule="auto"/>
      </w:pPr>
      <w:r>
        <w:rPr>
          <w:b/>
          <w:color w:val="1F4E79"/>
          <w:sz w:val="40"/>
        </w:rPr>
        <w:lastRenderedPageBreak/>
        <w:t>Table des matières</w:t>
      </w:r>
    </w:p>
    <w:p w14:paraId="108F0913" w14:textId="77777777" w:rsidR="00CE14DF" w:rsidRDefault="00000000">
      <w:pPr>
        <w:spacing w:after="60" w:line="252" w:lineRule="auto"/>
      </w:pPr>
      <w:r>
        <w:t>I – Compréhension du sujet et enjeux ........................................................................ 3</w:t>
      </w:r>
    </w:p>
    <w:p w14:paraId="5A5BD413" w14:textId="77777777" w:rsidR="00CE14DF" w:rsidRDefault="00000000">
      <w:pPr>
        <w:spacing w:after="60" w:line="252" w:lineRule="auto"/>
      </w:pPr>
      <w:r>
        <w:t>II – Qui sommes-nous et nos engagements ................................................................. 3</w:t>
      </w:r>
    </w:p>
    <w:p w14:paraId="0FE3C342" w14:textId="77777777" w:rsidR="00CE14DF" w:rsidRDefault="00000000">
      <w:pPr>
        <w:spacing w:after="60" w:line="252" w:lineRule="auto"/>
      </w:pPr>
      <w:r>
        <w:t>III – Notre réponse ........................................................................................................ 4</w:t>
      </w:r>
    </w:p>
    <w:p w14:paraId="2FC67319" w14:textId="77777777" w:rsidR="00CE14DF" w:rsidRDefault="00000000">
      <w:pPr>
        <w:spacing w:after="60" w:line="252" w:lineRule="auto"/>
      </w:pPr>
      <w:r>
        <w:t>1. Pilotage et Gouvernance .......................................................................................... 4</w:t>
      </w:r>
    </w:p>
    <w:p w14:paraId="6B3A61CB" w14:textId="77777777" w:rsidR="00CE14DF" w:rsidRDefault="00000000">
      <w:pPr>
        <w:spacing w:after="60" w:line="252" w:lineRule="auto"/>
      </w:pPr>
      <w:r>
        <w:t>2. Réponse technique ................................................................................................... 4</w:t>
      </w:r>
    </w:p>
    <w:p w14:paraId="39C68F2C" w14:textId="77777777" w:rsidR="00CE14DF" w:rsidRDefault="00000000">
      <w:pPr>
        <w:spacing w:after="60" w:line="252" w:lineRule="auto"/>
      </w:pPr>
      <w:r>
        <w:t>3. Équipe type ............................................................................................................... 5</w:t>
      </w:r>
    </w:p>
    <w:p w14:paraId="116F7084" w14:textId="77777777" w:rsidR="00CE14DF" w:rsidRDefault="00000000">
      <w:pPr>
        <w:spacing w:after="60" w:line="252" w:lineRule="auto"/>
      </w:pPr>
      <w:r>
        <w:t>4. Planning prévisionnel ............................................................................................... 5</w:t>
      </w:r>
    </w:p>
    <w:p w14:paraId="7B3C3025" w14:textId="77777777" w:rsidR="00CE14DF" w:rsidRDefault="00000000">
      <w:pPr>
        <w:spacing w:after="60" w:line="252" w:lineRule="auto"/>
      </w:pPr>
      <w:r>
        <w:t>5. Livrables ................................................................................................................... 5</w:t>
      </w:r>
    </w:p>
    <w:p w14:paraId="4F10047C" w14:textId="77777777" w:rsidR="00CE14DF" w:rsidRDefault="00000000">
      <w:pPr>
        <w:spacing w:after="60" w:line="252" w:lineRule="auto"/>
      </w:pPr>
      <w:r>
        <w:t>IV – Nos Références ...................................................................................................... 6</w:t>
      </w:r>
    </w:p>
    <w:p w14:paraId="3488EB6E" w14:textId="77777777" w:rsidR="00CE14DF" w:rsidRDefault="00000000">
      <w:r>
        <w:br w:type="page"/>
      </w:r>
    </w:p>
    <w:p w14:paraId="03BCA166" w14:textId="77777777" w:rsidR="00CE14DF" w:rsidRDefault="00000000">
      <w:pPr>
        <w:spacing w:before="240" w:after="120" w:line="252" w:lineRule="auto"/>
      </w:pPr>
      <w:r>
        <w:rPr>
          <w:b/>
          <w:color w:val="1F4E79"/>
          <w:sz w:val="36"/>
        </w:rPr>
        <w:lastRenderedPageBreak/>
        <w:t>I – Compréhension du sujet et enjeux</w:t>
      </w:r>
    </w:p>
    <w:p w14:paraId="76886FA3" w14:textId="77777777" w:rsidR="00CE14DF" w:rsidRDefault="00000000">
      <w:pPr>
        <w:spacing w:after="120" w:line="252" w:lineRule="auto"/>
      </w:pPr>
      <w:r>
        <w:t>Le marché subséquent porte sur une prestation d’assistance à maîtrise d’ouvrage en suivi de production métier, destinée à renforcer l’équipe en charge des outils du domaine Entreprises, avec un focus central sur les briques DSN Agirc-Arrco. La mission n’est pas une simple activité de recette : elle s’inscrit dans le RUN métier, la sécurisation de la production, le traitement des anomalies fonctionnelles, le déblocage des dossiers et la coordination avec les groupes de protection sociale et la DSI.</w:t>
      </w:r>
    </w:p>
    <w:p w14:paraId="6B2FB926" w14:textId="77777777" w:rsidR="00CE14DF" w:rsidRDefault="00000000">
      <w:pPr>
        <w:spacing w:after="120" w:line="252" w:lineRule="auto"/>
      </w:pPr>
      <w:r>
        <w:t>Les enjeux identifiés sont les suivants : garantir la continuité de service des outils DSN, analyser et prioriser les anomalies, mettre en place des solutions de contournement ou de rattrapage, produire des consignes de gestion exploitables par les équipes opérationnelles, assurer un suivi statistique fiable et participer aux instances de suivi liées aux briques centrales.</w:t>
      </w:r>
    </w:p>
    <w:p w14:paraId="20DEC73D" w14:textId="77777777" w:rsidR="00CE14DF" w:rsidRDefault="00000000">
      <w:pPr>
        <w:spacing w:after="120" w:line="252" w:lineRule="auto"/>
      </w:pPr>
      <w:r>
        <w:t>Le profil proposé, OHU, répond fortement à ces enjeux. Il dispose d’une expertise éprouvée en DSN, PASRAU, protection sociale et retraite complémentaire. Il a travaillé sur deux briques DSN, a déjà mené des activités de suivi de production, de pilotage des volumes de tickets, de suivi des anomalies et des taux de résolution, et a collaboré directement avec des groupes de protection sociale. Sa disponibilité à compter du 1er juillet 2026 et sa capacité d’intervention à temps plein sur site à Paris sécurisent également la mise en œuvre opérationnelle de la prestation.</w:t>
      </w:r>
    </w:p>
    <w:p w14:paraId="1D8E404F" w14:textId="77777777" w:rsidR="00CE14DF" w:rsidRDefault="00000000">
      <w:pPr>
        <w:spacing w:after="120" w:line="252" w:lineRule="auto"/>
      </w:pPr>
      <w:r>
        <w:t>Le fait que le candidat ne revendique pas d’expérience directe sur DeclaR’zen ne constitue pas un frein à la réussite de la mission. Son parcours est construit sur une forte capacité d’adaptation dans des environnements multiples de retraite et de protection sociale. Ses expériences auprès de plusieurs acteurs et régimes lui permettent d’apporter à l’Agirc-Arrco des méthodes issues du traitement opérationnel de l’ensemble des IRC, une capacité de restitution structurée et une compréhension transverse des chaînes déclaratives et métier.</w:t>
      </w:r>
    </w:p>
    <w:p w14:paraId="7545E5AC" w14:textId="77777777" w:rsidR="00CE14DF" w:rsidRDefault="00000000">
      <w:pPr>
        <w:spacing w:before="240" w:after="120" w:line="252" w:lineRule="auto"/>
      </w:pPr>
      <w:r>
        <w:rPr>
          <w:b/>
          <w:color w:val="1F4E79"/>
          <w:sz w:val="36"/>
        </w:rPr>
        <w:t>II – Qui sommes-nous et nos engagements</w:t>
      </w:r>
    </w:p>
    <w:p w14:paraId="1588E28F" w14:textId="77777777" w:rsidR="00CE14DF" w:rsidRDefault="00000000">
      <w:pPr>
        <w:spacing w:after="100" w:line="252" w:lineRule="auto"/>
      </w:pPr>
      <w:r>
        <w:t>Créé en décembre 2014, FASTOR GIE a pour vocation de coopter des PME ESN avec pour objectif de pérenniser les relations Grands Comptes tout en respectant les critères de référencement. Ce modèle est plébiscité par les Directions Achats qui y trouvent une sécurité juridique et un choix élargi de prestataires.</w:t>
      </w:r>
    </w:p>
    <w:p w14:paraId="3F685128" w14:textId="77777777" w:rsidR="00CE14DF" w:rsidRDefault="00000000">
      <w:pPr>
        <w:spacing w:after="100" w:line="252" w:lineRule="auto"/>
      </w:pPr>
      <w:r>
        <w:t>La force du GIE est son maillage territorial en parfaite adéquation avec la situation géographique de ses clients multi-sites. La complétude de son offre et ses implantations en région en font un acteur de proximité reconnu.</w:t>
      </w:r>
    </w:p>
    <w:p w14:paraId="1FFE30C4" w14:textId="77777777" w:rsidR="00CE14DF" w:rsidRDefault="00000000">
      <w:pPr>
        <w:spacing w:after="100" w:line="252" w:lineRule="auto"/>
      </w:pPr>
      <w:r>
        <w:t>La force des PME membres est leur capacité d’adaptation, indispensable aux défis de demain. Les membres du GIE se rejoignent sur le partage de valeurs humaines et ont la même volonté de faire vivre et prospérer leurs structures respectives.</w:t>
      </w:r>
    </w:p>
    <w:p w14:paraId="75A1A2BF" w14:textId="77777777" w:rsidR="00CE14DF" w:rsidRDefault="00000000">
      <w:pPr>
        <w:spacing w:after="100" w:line="252" w:lineRule="auto"/>
      </w:pPr>
      <w:r>
        <w:t>FASTOR GIE assure le pilotage du marché en tant que mandataire. La gouvernance opérationnelle est portée en collaboration avec l’ESN retenue, avec un suivi régulier des engagements, des KPI et de la qualité de prestation.</w:t>
      </w:r>
    </w:p>
    <w:p w14:paraId="0E6810D4" w14:textId="77777777" w:rsidR="00E35312" w:rsidRDefault="00E35312">
      <w:pPr>
        <w:spacing w:after="100" w:line="252" w:lineRule="auto"/>
      </w:pPr>
    </w:p>
    <w:p w14:paraId="54ED6788" w14:textId="77777777" w:rsidR="00CE14DF" w:rsidRDefault="00000000">
      <w:pPr>
        <w:spacing w:before="240" w:after="120" w:line="252" w:lineRule="auto"/>
      </w:pPr>
      <w:r>
        <w:rPr>
          <w:b/>
          <w:color w:val="1F4E79"/>
          <w:sz w:val="36"/>
        </w:rPr>
        <w:lastRenderedPageBreak/>
        <w:t>III – Notre réponse</w:t>
      </w:r>
    </w:p>
    <w:p w14:paraId="32A9A6D9" w14:textId="77777777" w:rsidR="00CE14DF" w:rsidRDefault="00000000">
      <w:pPr>
        <w:spacing w:before="240" w:after="120" w:line="252" w:lineRule="auto"/>
      </w:pPr>
      <w:r>
        <w:rPr>
          <w:b/>
          <w:color w:val="C00000"/>
          <w:sz w:val="30"/>
        </w:rPr>
        <w:t>1. Pilotage et Gouvernance</w:t>
      </w:r>
    </w:p>
    <w:p w14:paraId="31728F86" w14:textId="77777777" w:rsidR="00CE14DF" w:rsidRDefault="00000000">
      <w:pPr>
        <w:pStyle w:val="Paragraphedeliste"/>
        <w:spacing w:after="40" w:line="240" w:lineRule="auto"/>
        <w:ind w:left="340" w:hanging="142"/>
      </w:pPr>
      <w:r>
        <w:rPr>
          <w:sz w:val="23"/>
        </w:rPr>
        <w:t>Gouvernance stratégique : COPIL assurés en collaboration avec FASTOR GIE, mandataire du dispositif.</w:t>
      </w:r>
    </w:p>
    <w:p w14:paraId="12F8E678" w14:textId="77777777" w:rsidR="00CE14DF" w:rsidRDefault="00000000">
      <w:pPr>
        <w:pStyle w:val="Paragraphedeliste"/>
        <w:spacing w:after="40" w:line="240" w:lineRule="auto"/>
        <w:ind w:left="340" w:hanging="142"/>
      </w:pPr>
      <w:r>
        <w:rPr>
          <w:sz w:val="23"/>
        </w:rPr>
        <w:t>Gouvernance opérationnelle : COTECH / COSUI pour suivre les sujets ouverts, les risques, les arbitrages, les KPI et les actions de sécurisation.</w:t>
      </w:r>
    </w:p>
    <w:p w14:paraId="71AE3473" w14:textId="77777777" w:rsidR="00CE14DF" w:rsidRDefault="00000000">
      <w:pPr>
        <w:pStyle w:val="Paragraphedeliste"/>
        <w:spacing w:after="40" w:line="240" w:lineRule="auto"/>
        <w:ind w:left="340" w:hanging="142"/>
      </w:pPr>
      <w:r>
        <w:rPr>
          <w:sz w:val="23"/>
        </w:rPr>
        <w:t>Suivi de production : mise en visibilité du portefeuille d’anomalies, des tickets, des contournements, des rattrapages et des actions DSI / métier.</w:t>
      </w:r>
    </w:p>
    <w:p w14:paraId="431F1C15" w14:textId="77777777" w:rsidR="00CE14DF" w:rsidRDefault="00000000">
      <w:pPr>
        <w:pStyle w:val="Paragraphedeliste"/>
        <w:spacing w:after="40" w:line="240" w:lineRule="auto"/>
        <w:ind w:left="340" w:hanging="142"/>
      </w:pPr>
      <w:r>
        <w:rPr>
          <w:sz w:val="23"/>
        </w:rPr>
        <w:t>Communication adaptée : restitution claire auprès des métiers, des groupes de protection sociale, des équipes SI et des instances de pilotage.</w:t>
      </w:r>
    </w:p>
    <w:p w14:paraId="1B8538A8" w14:textId="77777777" w:rsidR="00CE14DF" w:rsidRDefault="00000000">
      <w:pPr>
        <w:spacing w:before="240" w:after="120" w:line="252" w:lineRule="auto"/>
      </w:pPr>
      <w:r>
        <w:rPr>
          <w:b/>
          <w:color w:val="C00000"/>
          <w:sz w:val="30"/>
        </w:rPr>
        <w:t>2. Réponse technique</w:t>
      </w:r>
    </w:p>
    <w:p w14:paraId="60DB5581" w14:textId="77777777" w:rsidR="00CE14DF" w:rsidRDefault="00000000">
      <w:pPr>
        <w:spacing w:after="120" w:line="252" w:lineRule="auto"/>
      </w:pPr>
      <w:r>
        <w:t>OHU est proposé comme Consultant AMOA Senior – Expert DSN / protection sociale / retraite complémentaire. Il dispose d’une expérience longue en AMOA, recette, support fonctionnel, suivi de production et pilotage d’anomalies sur des environnements sensibles. Son expérience couvre notamment la DSN, PASRAU, la retraite complémentaire, l’Usine Retraite, le RGCU, les flux déclaratifs, les tests de non-régression, les environnements de forte volumétrie et la coordination MOA / MOE / métiers / DSI.</w:t>
      </w:r>
    </w:p>
    <w:p w14:paraId="596C12D9" w14:textId="77777777" w:rsidR="00CE14DF" w:rsidRDefault="00000000">
      <w:pPr>
        <w:spacing w:after="120" w:line="252" w:lineRule="auto"/>
      </w:pPr>
      <w:r>
        <w:t>Le candidat est particulièrement adapté au besoin car il a déjà travaillé sur les deux briques DSN et sur PASRAU, a produit des statistiques de suivi, piloté des volumes de tickets, suivi des anomalies et des taux de résolution, et intervient avec une posture immédiatement opérationnelle. Il a également travaillé directement avec les groupes de protection sociale, ce qui est déterminant pour la bonne compréhension des remontées terrain et la formulation de consignes opérationnelles.</w:t>
      </w:r>
    </w:p>
    <w:p w14:paraId="221BF8A2" w14:textId="77777777" w:rsidR="00CE14DF" w:rsidRDefault="00000000">
      <w:pPr>
        <w:spacing w:after="120" w:line="252" w:lineRule="auto"/>
      </w:pPr>
      <w:r>
        <w:t>Sa valeur ajoutée tient aussi à sa capacité à restituer les sujets complexes de manière structurée : qualification des anomalies, analyse des impacts métier, priorisation, formalisation des règles et consignes, coordination des corrections et suivi jusqu’à stabilisation. Cette approche, éprouvée sur plusieurs missions du domaine retraite et protection sociale, permettra d’apporter une méthodologie pragmatique au service de la sécurisation des briques DSN Agirc-Arrco.</w:t>
      </w:r>
    </w:p>
    <w:p w14:paraId="261E249D" w14:textId="77777777" w:rsidR="00CE14DF" w:rsidRDefault="00000000">
      <w:pPr>
        <w:spacing w:after="60" w:line="252" w:lineRule="auto"/>
      </w:pPr>
      <w:r>
        <w:rPr>
          <w:b/>
          <w:color w:val="C00000"/>
          <w:sz w:val="23"/>
        </w:rPr>
        <w:t xml:space="preserve">Pourquoi ce candidat est le meilleur choix : </w:t>
      </w:r>
      <w:r>
        <w:rPr>
          <w:sz w:val="23"/>
        </w:rPr>
        <w:t>il combine expertise DSN, connaissance de la protection sociale, expérience retraite complémentaire, pratique du suivi de production métier, capacité de reporting statistique et forte adaptabilité dans des environnements inter-régimes et multi-acteurs.</w:t>
      </w:r>
    </w:p>
    <w:p w14:paraId="6D6F52A1" w14:textId="77777777" w:rsidR="00CE14DF" w:rsidRDefault="00000000">
      <w:pPr>
        <w:spacing w:before="240" w:after="120" w:line="252" w:lineRule="auto"/>
      </w:pPr>
      <w:r>
        <w:rPr>
          <w:b/>
          <w:color w:val="C00000"/>
          <w:sz w:val="30"/>
        </w:rPr>
        <w:t>3. Équipe type</w:t>
      </w:r>
    </w:p>
    <w:p w14:paraId="62C1E226" w14:textId="77777777" w:rsidR="00CE14DF" w:rsidRDefault="00000000">
      <w:pPr>
        <w:pStyle w:val="Paragraphedeliste"/>
        <w:spacing w:after="40" w:line="240" w:lineRule="auto"/>
        <w:ind w:left="340" w:hanging="142"/>
      </w:pPr>
      <w:r>
        <w:rPr>
          <w:sz w:val="23"/>
        </w:rPr>
        <w:t>Consultant proposé : OHU – Consultant AMOA Senior / Expert DSN, responsable de l’analyse fonctionnelle, du traitement des anomalies, du suivi de production métier, des consignes et du reporting.</w:t>
      </w:r>
    </w:p>
    <w:p w14:paraId="430DA8CA" w14:textId="77777777" w:rsidR="00CE14DF" w:rsidRDefault="00000000">
      <w:pPr>
        <w:pStyle w:val="Paragraphedeliste"/>
        <w:spacing w:after="40" w:line="240" w:lineRule="auto"/>
        <w:ind w:left="340" w:hanging="142"/>
      </w:pPr>
      <w:r>
        <w:rPr>
          <w:sz w:val="23"/>
        </w:rPr>
        <w:t>FASTOR GIE : pilotage contractuel, suivi de la qualité de prestation et animation du cadre de gouvernance en tant que mandataire.</w:t>
      </w:r>
    </w:p>
    <w:p w14:paraId="7E11372E" w14:textId="77777777" w:rsidR="00CE14DF" w:rsidRDefault="00000000">
      <w:pPr>
        <w:pStyle w:val="Paragraphedeliste"/>
        <w:spacing w:after="40" w:line="240" w:lineRule="auto"/>
        <w:ind w:left="340" w:hanging="142"/>
      </w:pPr>
      <w:r>
        <w:rPr>
          <w:sz w:val="23"/>
        </w:rPr>
        <w:t>ESN porteuse / Tilencia : suivi opérationnel du consultant, points de coordination, anticipation des risques, continuité de service et appui méthodologique.</w:t>
      </w:r>
    </w:p>
    <w:p w14:paraId="757ECBD4" w14:textId="77777777" w:rsidR="00CE14DF" w:rsidRDefault="00000000">
      <w:pPr>
        <w:pStyle w:val="Paragraphedeliste"/>
        <w:spacing w:after="40" w:line="240" w:lineRule="auto"/>
        <w:ind w:left="340" w:hanging="142"/>
      </w:pPr>
      <w:r>
        <w:rPr>
          <w:sz w:val="23"/>
        </w:rPr>
        <w:lastRenderedPageBreak/>
        <w:t>Charge cible : 1 ETP, intervention 5 jours / semaine, disponible à compter du 1er juillet 2026, présence sur site à Paris compatible avec les attentes de la mission.</w:t>
      </w:r>
    </w:p>
    <w:p w14:paraId="1C5E886B" w14:textId="77777777" w:rsidR="00CE14DF" w:rsidRDefault="00000000">
      <w:pPr>
        <w:spacing w:before="240" w:after="120" w:line="252" w:lineRule="auto"/>
      </w:pPr>
      <w:r>
        <w:rPr>
          <w:b/>
          <w:color w:val="C00000"/>
          <w:sz w:val="30"/>
        </w:rPr>
        <w:t>4. Planning prévisionnel</w:t>
      </w:r>
    </w:p>
    <w:p w14:paraId="71A422D8" w14:textId="77777777" w:rsidR="00CE14DF" w:rsidRDefault="00000000">
      <w:pPr>
        <w:spacing w:after="60" w:line="252" w:lineRule="auto"/>
      </w:pPr>
      <w:r>
        <w:rPr>
          <w:b/>
          <w:color w:val="C00000"/>
          <w:sz w:val="23"/>
        </w:rPr>
        <w:t xml:space="preserve">Démarrage – semaine 1 à 2 : </w:t>
      </w:r>
      <w:r>
        <w:rPr>
          <w:sz w:val="23"/>
        </w:rPr>
        <w:t>prise de connaissance des briques DSN, des outils, des interlocuteurs, du portefeuille d’anomalies, des indicateurs existants et des circuits DSI / métiers / GPS.</w:t>
      </w:r>
    </w:p>
    <w:p w14:paraId="40D9BE97" w14:textId="77777777" w:rsidR="00CE14DF" w:rsidRDefault="00000000">
      <w:pPr>
        <w:spacing w:after="60" w:line="252" w:lineRule="auto"/>
      </w:pPr>
      <w:r>
        <w:rPr>
          <w:b/>
          <w:color w:val="C00000"/>
          <w:sz w:val="23"/>
        </w:rPr>
        <w:t xml:space="preserve">Montée en charge – semaines 3 à 6 : </w:t>
      </w:r>
      <w:r>
        <w:rPr>
          <w:sz w:val="23"/>
        </w:rPr>
        <w:t>prise en charge progressive des tickets et anomalies, qualification fonctionnelle, priorisation, identification des contournements et rattrapages, participation aux instances.</w:t>
      </w:r>
    </w:p>
    <w:p w14:paraId="7C718616" w14:textId="77777777" w:rsidR="00CE14DF" w:rsidRDefault="00000000">
      <w:pPr>
        <w:spacing w:after="60" w:line="252" w:lineRule="auto"/>
      </w:pPr>
      <w:r>
        <w:rPr>
          <w:b/>
          <w:color w:val="C00000"/>
          <w:sz w:val="23"/>
        </w:rPr>
        <w:t xml:space="preserve">Stabilisation – mois 2 à 3 : </w:t>
      </w:r>
      <w:r>
        <w:rPr>
          <w:sz w:val="23"/>
        </w:rPr>
        <w:t>industrialisation du suivi statistique, mise en place ou amélioration des tableaux de bord, formalisation des consignes de gestion et sécurisation des modes opératoires.</w:t>
      </w:r>
    </w:p>
    <w:p w14:paraId="2A31F507" w14:textId="77777777" w:rsidR="00CE14DF" w:rsidRDefault="00000000">
      <w:pPr>
        <w:spacing w:after="60" w:line="252" w:lineRule="auto"/>
      </w:pPr>
      <w:r>
        <w:rPr>
          <w:b/>
          <w:color w:val="C00000"/>
          <w:sz w:val="23"/>
        </w:rPr>
        <w:t xml:space="preserve">Run récurrent – à partir du mois 3 : </w:t>
      </w:r>
      <w:r>
        <w:rPr>
          <w:sz w:val="23"/>
        </w:rPr>
        <w:t>suivi des volumes, anomalies, taux de résolution, actions DSI, décisions d’arbitrage, reporting périodique et amélioration continue.</w:t>
      </w:r>
    </w:p>
    <w:p w14:paraId="5991CAE8" w14:textId="77777777" w:rsidR="00CE14DF" w:rsidRDefault="00000000">
      <w:pPr>
        <w:spacing w:before="240" w:after="120" w:line="252" w:lineRule="auto"/>
      </w:pPr>
      <w:r>
        <w:rPr>
          <w:b/>
          <w:color w:val="C00000"/>
          <w:sz w:val="30"/>
        </w:rPr>
        <w:t>5. Livrables</w:t>
      </w:r>
    </w:p>
    <w:p w14:paraId="49221D6B" w14:textId="77777777" w:rsidR="00CE14DF" w:rsidRDefault="00000000">
      <w:pPr>
        <w:pStyle w:val="Paragraphedeliste"/>
        <w:spacing w:after="40" w:line="240" w:lineRule="auto"/>
        <w:ind w:left="340" w:hanging="142"/>
      </w:pPr>
      <w:r>
        <w:rPr>
          <w:sz w:val="23"/>
        </w:rPr>
        <w:t>Tableau de suivi des anomalies fonctionnelles, tickets, statuts, priorités, responsables et échéances.</w:t>
      </w:r>
    </w:p>
    <w:p w14:paraId="3CCF645E" w14:textId="77777777" w:rsidR="00CE14DF" w:rsidRDefault="00000000">
      <w:pPr>
        <w:pStyle w:val="Paragraphedeliste"/>
        <w:spacing w:after="40" w:line="240" w:lineRule="auto"/>
        <w:ind w:left="340" w:hanging="142"/>
      </w:pPr>
      <w:r>
        <w:rPr>
          <w:sz w:val="23"/>
        </w:rPr>
        <w:t>Tableaux de bord statistiques : volumes de tickets, typologie d’anomalies, taux de résolution, ancienneté des dossiers et points de blocage.</w:t>
      </w:r>
    </w:p>
    <w:p w14:paraId="7B4A4376" w14:textId="77777777" w:rsidR="00CE14DF" w:rsidRDefault="00000000">
      <w:pPr>
        <w:pStyle w:val="Paragraphedeliste"/>
        <w:spacing w:after="40" w:line="240" w:lineRule="auto"/>
        <w:ind w:left="340" w:hanging="142"/>
      </w:pPr>
      <w:r>
        <w:rPr>
          <w:sz w:val="23"/>
        </w:rPr>
        <w:t>Consignes de gestion et modes opératoires à destination des équipes métier et des groupes de protection sociale.</w:t>
      </w:r>
    </w:p>
    <w:p w14:paraId="6B0AF37C" w14:textId="77777777" w:rsidR="00CE14DF" w:rsidRDefault="00000000">
      <w:pPr>
        <w:pStyle w:val="Paragraphedeliste"/>
        <w:spacing w:after="40" w:line="240" w:lineRule="auto"/>
        <w:ind w:left="340" w:hanging="142"/>
      </w:pPr>
      <w:r>
        <w:rPr>
          <w:sz w:val="23"/>
        </w:rPr>
        <w:t>Comptes rendus d’instances, synthèses de décisions, plans d’action et suivi des risques.</w:t>
      </w:r>
    </w:p>
    <w:p w14:paraId="1E2BD25C" w14:textId="77777777" w:rsidR="00CE14DF" w:rsidRDefault="00000000">
      <w:pPr>
        <w:pStyle w:val="Paragraphedeliste"/>
        <w:spacing w:after="40" w:line="240" w:lineRule="auto"/>
        <w:ind w:left="340" w:hanging="142"/>
      </w:pPr>
      <w:r>
        <w:rPr>
          <w:sz w:val="23"/>
        </w:rPr>
        <w:t>Supports de validation métier, PV de recette, suivi des corrections et validation post-rattrapage.</w:t>
      </w:r>
    </w:p>
    <w:p w14:paraId="1231E612" w14:textId="77777777" w:rsidR="00CE14DF" w:rsidRDefault="00000000">
      <w:pPr>
        <w:pStyle w:val="Paragraphedeliste"/>
        <w:spacing w:after="40" w:line="240" w:lineRule="auto"/>
        <w:ind w:left="340" w:hanging="142"/>
      </w:pPr>
      <w:r>
        <w:rPr>
          <w:sz w:val="23"/>
        </w:rPr>
        <w:t>Bilan périodique de production métier et recommandations d’amélioration continue.</w:t>
      </w:r>
    </w:p>
    <w:p w14:paraId="1F54016E" w14:textId="77777777" w:rsidR="00CE14DF" w:rsidRDefault="00000000">
      <w:r>
        <w:br w:type="page"/>
      </w:r>
    </w:p>
    <w:p w14:paraId="74C797F9" w14:textId="77777777" w:rsidR="00CE14DF" w:rsidRDefault="00000000">
      <w:pPr>
        <w:spacing w:before="240" w:after="120" w:line="252" w:lineRule="auto"/>
      </w:pPr>
      <w:r>
        <w:rPr>
          <w:b/>
          <w:color w:val="1F4E79"/>
          <w:sz w:val="36"/>
        </w:rPr>
        <w:lastRenderedPageBreak/>
        <w:t>IV – Nos Références</w:t>
      </w:r>
    </w:p>
    <w:p w14:paraId="281E2272" w14:textId="77777777" w:rsidR="00CE14DF" w:rsidRDefault="00000000">
      <w:pPr>
        <w:spacing w:after="40" w:line="252" w:lineRule="auto"/>
      </w:pPr>
      <w:r>
        <w:rPr>
          <w:b/>
          <w:color w:val="C00000"/>
          <w:sz w:val="23"/>
        </w:rPr>
        <w:t xml:space="preserve">GIP-MDS – Expertise DSN (2021) – Consultant AMOA DSN : </w:t>
      </w:r>
      <w:r>
        <w:rPr>
          <w:sz w:val="23"/>
        </w:rPr>
        <w:t>MOA opérationnelle et coordination des travaux DSN dans un contexte multipartenaires ; instruction des besoins des organismes, maintenance du cahier technique NEODES, fiches d’instruction, fiches consignes et support expertise.</w:t>
      </w:r>
    </w:p>
    <w:p w14:paraId="271C33FA" w14:textId="77777777" w:rsidR="00CE14DF" w:rsidRDefault="00000000">
      <w:pPr>
        <w:spacing w:after="40" w:line="252" w:lineRule="auto"/>
      </w:pPr>
      <w:r>
        <w:rPr>
          <w:b/>
          <w:color w:val="C00000"/>
          <w:sz w:val="23"/>
        </w:rPr>
        <w:t xml:space="preserve">AG2R La Mondiale – DSN Santé / Prévoyance (2015 – 2016) – Consultant AMOA : </w:t>
      </w:r>
      <w:r>
        <w:rPr>
          <w:sz w:val="23"/>
        </w:rPr>
        <w:t>Analyse fonctionnelle, dossiers de conception détaillée, scénarios de démarrage, spécification des impacts DSN sur les processus de déclarations de salaires et cotisations.</w:t>
      </w:r>
    </w:p>
    <w:p w14:paraId="0002B905" w14:textId="77777777" w:rsidR="00CE14DF" w:rsidRDefault="00000000">
      <w:pPr>
        <w:spacing w:after="40" w:line="252" w:lineRule="auto"/>
      </w:pPr>
      <w:r>
        <w:rPr>
          <w:b/>
          <w:color w:val="C00000"/>
          <w:sz w:val="23"/>
        </w:rPr>
        <w:t xml:space="preserve">La CIPAV – RGCU (2021) – Consultant AMOA : </w:t>
      </w:r>
      <w:r>
        <w:rPr>
          <w:sz w:val="23"/>
        </w:rPr>
        <w:t>Expression de besoins, spécification des flux, formalisation des besoins régime, coordination CNAV / URSSAF / parties prenantes autour de l’alimentation RGCU.</w:t>
      </w:r>
    </w:p>
    <w:p w14:paraId="038094F7" w14:textId="77777777" w:rsidR="00CE14DF" w:rsidRDefault="00000000">
      <w:pPr>
        <w:spacing w:after="40" w:line="252" w:lineRule="auto"/>
      </w:pPr>
      <w:r>
        <w:rPr>
          <w:b/>
          <w:color w:val="C00000"/>
          <w:sz w:val="23"/>
        </w:rPr>
        <w:t xml:space="preserve">Malakoff Médéric – Usine Retraite / brique ALLURE (2013 – 2014) – Consultant AMOA : </w:t>
      </w:r>
      <w:r>
        <w:rPr>
          <w:sz w:val="23"/>
        </w:rPr>
        <w:t>Assistance post-démarrage, support fonctionnel de second niveau, analyse des demandes, propositions de solutions et remontée des corrections / évolutions auprès du producteur.</w:t>
      </w:r>
    </w:p>
    <w:p w14:paraId="76DF7848" w14:textId="77777777" w:rsidR="00CE14DF" w:rsidRDefault="00000000">
      <w:pPr>
        <w:spacing w:after="40" w:line="252" w:lineRule="auto"/>
      </w:pPr>
      <w:r>
        <w:rPr>
          <w:b/>
          <w:color w:val="C00000"/>
          <w:sz w:val="23"/>
        </w:rPr>
        <w:t xml:space="preserve">Systalians / Alcara – Usine Retraite (2009 – 2013) – Consultant QA : </w:t>
      </w:r>
      <w:r>
        <w:rPr>
          <w:sz w:val="23"/>
        </w:rPr>
        <w:t>Qualification fonctionnelle de la brique Prestations, gestion des jeux d’essai, pilotage Quality Center, suivi des anomalies, reporting, méthodologie de tests et formation des équipes.</w:t>
      </w:r>
    </w:p>
    <w:p w14:paraId="761664CD" w14:textId="77777777" w:rsidR="00CE14DF" w:rsidRDefault="00000000">
      <w:pPr>
        <w:spacing w:after="40" w:line="252" w:lineRule="auto"/>
      </w:pPr>
      <w:r>
        <w:rPr>
          <w:b/>
          <w:color w:val="C00000"/>
          <w:sz w:val="23"/>
        </w:rPr>
        <w:t xml:space="preserve">PRO BTP / MGEN / CNAM (2023 – 2025) – Consultant AMOA : </w:t>
      </w:r>
      <w:r>
        <w:rPr>
          <w:sz w:val="23"/>
        </w:rPr>
        <w:t>Protection sociale et santé : assistance utilisateurs, gestion des incidents, suivi des anomalies, reporting, recette fonctionnelle et amélioration continue des dispositifs métiers.</w:t>
      </w:r>
    </w:p>
    <w:p w14:paraId="5425FCF0" w14:textId="77777777" w:rsidR="00CE14DF" w:rsidRDefault="00000000">
      <w:pPr>
        <w:spacing w:before="360" w:after="80" w:line="252" w:lineRule="auto"/>
        <w:jc w:val="center"/>
      </w:pPr>
      <w:r>
        <w:rPr>
          <w:b/>
        </w:rPr>
        <w:t>Fin de document</w:t>
      </w:r>
    </w:p>
    <w:sectPr w:rsidR="00CE14DF" w:rsidSect="00B91811">
      <w:headerReference w:type="default" r:id="rId11"/>
      <w:footerReference w:type="default" r:id="rId12"/>
      <w:pgSz w:w="11906" w:h="16838"/>
      <w:pgMar w:top="1247" w:right="1134" w:bottom="1020"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09808" w14:textId="77777777" w:rsidR="00923D12" w:rsidRDefault="00923D12" w:rsidP="008E07A3">
      <w:pPr>
        <w:spacing w:after="0" w:line="240" w:lineRule="auto"/>
      </w:pPr>
      <w:r>
        <w:separator/>
      </w:r>
    </w:p>
  </w:endnote>
  <w:endnote w:type="continuationSeparator" w:id="0">
    <w:p w14:paraId="40C720EC" w14:textId="77777777" w:rsidR="00923D12" w:rsidRDefault="00923D12" w:rsidP="008E0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890523"/>
      <w:docPartObj>
        <w:docPartGallery w:val="Page Numbers (Bottom of Page)"/>
        <w:docPartUnique/>
      </w:docPartObj>
    </w:sdtPr>
    <w:sdtContent>
      <w:p w14:paraId="29A75A4B" w14:textId="16931C9D" w:rsidR="00F20569" w:rsidRDefault="00F20569">
        <w:pPr>
          <w:pStyle w:val="Pieddepage"/>
          <w:jc w:val="right"/>
        </w:pPr>
        <w:r>
          <w:fldChar w:fldCharType="begin"/>
        </w:r>
        <w:r>
          <w:instrText>PAGE   \* MERGEFORMAT</w:instrText>
        </w:r>
        <w:r>
          <w:fldChar w:fldCharType="separate"/>
        </w:r>
        <w:r>
          <w:t>2</w:t>
        </w:r>
        <w:r>
          <w:fldChar w:fldCharType="end"/>
        </w:r>
      </w:p>
    </w:sdtContent>
  </w:sdt>
  <w:p w14:paraId="7A4C8748" w14:textId="4196F629" w:rsidR="008E07A3" w:rsidRDefault="00F20569">
    <w:pPr>
      <w:pStyle w:val="Pieddepage"/>
    </w:pPr>
    <w:r>
      <w:t xml:space="preserve">Dossier de candidature FASTOR – </w:t>
    </w:r>
    <w:r w:rsidRPr="00CE2BD3">
      <w:rPr>
        <w:color w:val="EE0000"/>
        <w:sz w:val="20"/>
      </w:rPr>
      <w:t>OHU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AD62F" w14:textId="77777777" w:rsidR="00923D12" w:rsidRDefault="00923D12" w:rsidP="008E07A3">
      <w:pPr>
        <w:spacing w:after="0" w:line="240" w:lineRule="auto"/>
      </w:pPr>
      <w:r>
        <w:separator/>
      </w:r>
    </w:p>
  </w:footnote>
  <w:footnote w:type="continuationSeparator" w:id="0">
    <w:p w14:paraId="27927B46" w14:textId="77777777" w:rsidR="00923D12" w:rsidRDefault="00923D12" w:rsidP="008E0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22E5" w14:textId="24268411" w:rsidR="00437F59" w:rsidRDefault="005C7B88">
    <w:pPr>
      <w:pStyle w:val="En-tte"/>
    </w:pPr>
    <w:r>
      <w:rPr>
        <w:noProof/>
      </w:rPr>
      <w:drawing>
        <wp:anchor distT="0" distB="0" distL="114300" distR="114300" simplePos="0" relativeHeight="251661312" behindDoc="1" locked="0" layoutInCell="1" allowOverlap="1" wp14:anchorId="52C3491E" wp14:editId="080DF199">
          <wp:simplePos x="0" y="0"/>
          <wp:positionH relativeFrom="margin">
            <wp:align>left</wp:align>
          </wp:positionH>
          <wp:positionV relativeFrom="paragraph">
            <wp:posOffset>-430530</wp:posOffset>
          </wp:positionV>
          <wp:extent cx="1476375" cy="811530"/>
          <wp:effectExtent l="0" t="0" r="0" b="0"/>
          <wp:wrapTight wrapText="bothSides">
            <wp:wrapPolygon edited="0">
              <wp:start x="8361" y="4056"/>
              <wp:lineTo x="2508" y="6592"/>
              <wp:lineTo x="1394" y="8113"/>
              <wp:lineTo x="1394" y="14704"/>
              <wp:lineTo x="15608" y="19268"/>
              <wp:lineTo x="19510" y="19268"/>
              <wp:lineTo x="20625" y="8620"/>
              <wp:lineTo x="18395" y="7099"/>
              <wp:lineTo x="10591" y="4056"/>
              <wp:lineTo x="8361" y="4056"/>
            </wp:wrapPolygon>
          </wp:wrapTight>
          <wp:docPr id="20129092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09261" name="Image 2012909261"/>
                  <pic:cNvPicPr/>
                </pic:nvPicPr>
                <pic:blipFill>
                  <a:blip r:embed="rId1">
                    <a:extLst>
                      <a:ext uri="{28A0092B-C50C-407E-A947-70E740481C1C}">
                        <a14:useLocalDpi xmlns:a14="http://schemas.microsoft.com/office/drawing/2010/main" val="0"/>
                      </a:ext>
                    </a:extLst>
                  </a:blip>
                  <a:stretch>
                    <a:fillRect/>
                  </a:stretch>
                </pic:blipFill>
                <pic:spPr>
                  <a:xfrm>
                    <a:off x="0" y="0"/>
                    <a:ext cx="1477970" cy="8130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95345EB" wp14:editId="66076094">
          <wp:simplePos x="0" y="0"/>
          <wp:positionH relativeFrom="margin">
            <wp:posOffset>4005580</wp:posOffset>
          </wp:positionH>
          <wp:positionV relativeFrom="paragraph">
            <wp:posOffset>-220980</wp:posOffset>
          </wp:positionV>
          <wp:extent cx="1371600" cy="478790"/>
          <wp:effectExtent l="0" t="0" r="0" b="0"/>
          <wp:wrapTight wrapText="bothSides">
            <wp:wrapPolygon edited="0">
              <wp:start x="0" y="0"/>
              <wp:lineTo x="0" y="20626"/>
              <wp:lineTo x="21300" y="20626"/>
              <wp:lineTo x="21300" y="0"/>
              <wp:lineTo x="0" y="0"/>
            </wp:wrapPolygon>
          </wp:wrapTight>
          <wp:docPr id="7092178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7A3" w:rsidRPr="008E07A3">
      <w:t xml:space="preserve"> </w:t>
    </w:r>
    <w:r w:rsidR="008E07A3">
      <w:t xml:space="preserve">    </w:t>
    </w:r>
    <w:r w:rsidR="00B91811">
      <w:t xml:space="preserve">                                                                                                </w:t>
    </w:r>
    <w:r w:rsidR="008E07A3">
      <w:t xml:space="preserve">        </w:t>
    </w:r>
  </w:p>
  <w:p w14:paraId="2744C7B4" w14:textId="1755AC23" w:rsidR="008E07A3" w:rsidRDefault="008E07A3">
    <w:pPr>
      <w:pStyle w:val="En-tte"/>
    </w:pPr>
    <w:r>
      <w:t xml:space="preserve">          </w:t>
    </w:r>
    <w:r w:rsidR="00B91811">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2C5F"/>
      </v:shape>
    </w:pict>
  </w:numPicBullet>
  <w:abstractNum w:abstractNumId="0" w15:restartNumberingAfterBreak="0">
    <w:nsid w:val="025808BD"/>
    <w:multiLevelType w:val="hybridMultilevel"/>
    <w:tmpl w:val="F5567514"/>
    <w:lvl w:ilvl="0" w:tplc="9C8066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83B7279"/>
    <w:multiLevelType w:val="multilevel"/>
    <w:tmpl w:val="C90C5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8B16FB"/>
    <w:multiLevelType w:val="hybridMultilevel"/>
    <w:tmpl w:val="B484AB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22D0CBC"/>
    <w:multiLevelType w:val="multilevel"/>
    <w:tmpl w:val="8574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11A99"/>
    <w:multiLevelType w:val="multilevel"/>
    <w:tmpl w:val="451A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131A62"/>
    <w:multiLevelType w:val="hybridMultilevel"/>
    <w:tmpl w:val="BE10E2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A43480"/>
    <w:multiLevelType w:val="hybridMultilevel"/>
    <w:tmpl w:val="879AA5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D7E1827"/>
    <w:multiLevelType w:val="hybridMultilevel"/>
    <w:tmpl w:val="34DC6DA8"/>
    <w:lvl w:ilvl="0" w:tplc="497CA8E6">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8240A7"/>
    <w:multiLevelType w:val="multilevel"/>
    <w:tmpl w:val="160AC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D078EC"/>
    <w:multiLevelType w:val="multilevel"/>
    <w:tmpl w:val="A004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B03ED"/>
    <w:multiLevelType w:val="hybridMultilevel"/>
    <w:tmpl w:val="A678F6A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64741291"/>
    <w:multiLevelType w:val="hybridMultilevel"/>
    <w:tmpl w:val="C69E441C"/>
    <w:lvl w:ilvl="0" w:tplc="679EA5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943763"/>
    <w:multiLevelType w:val="hybridMultilevel"/>
    <w:tmpl w:val="239EC2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EE92D5E"/>
    <w:multiLevelType w:val="hybridMultilevel"/>
    <w:tmpl w:val="14DA775E"/>
    <w:lvl w:ilvl="0" w:tplc="934AE790">
      <w:start w:val="3"/>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8E70999"/>
    <w:multiLevelType w:val="hybridMultilevel"/>
    <w:tmpl w:val="D346B87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51363568">
    <w:abstractNumId w:val="12"/>
  </w:num>
  <w:num w:numId="2" w16cid:durableId="411240234">
    <w:abstractNumId w:val="14"/>
  </w:num>
  <w:num w:numId="3" w16cid:durableId="119737226">
    <w:abstractNumId w:val="10"/>
  </w:num>
  <w:num w:numId="4" w16cid:durableId="1977760976">
    <w:abstractNumId w:val="11"/>
  </w:num>
  <w:num w:numId="5" w16cid:durableId="1654290935">
    <w:abstractNumId w:val="6"/>
  </w:num>
  <w:num w:numId="6" w16cid:durableId="1719470845">
    <w:abstractNumId w:val="5"/>
  </w:num>
  <w:num w:numId="7" w16cid:durableId="1292635021">
    <w:abstractNumId w:val="0"/>
  </w:num>
  <w:num w:numId="8" w16cid:durableId="1709528277">
    <w:abstractNumId w:val="2"/>
  </w:num>
  <w:num w:numId="9" w16cid:durableId="1002007016">
    <w:abstractNumId w:val="7"/>
  </w:num>
  <w:num w:numId="10" w16cid:durableId="367797301">
    <w:abstractNumId w:val="13"/>
  </w:num>
  <w:num w:numId="11" w16cid:durableId="1901163406">
    <w:abstractNumId w:val="3"/>
  </w:num>
  <w:num w:numId="12" w16cid:durableId="684013375">
    <w:abstractNumId w:val="8"/>
  </w:num>
  <w:num w:numId="13" w16cid:durableId="829255836">
    <w:abstractNumId w:val="1"/>
  </w:num>
  <w:num w:numId="14" w16cid:durableId="1920826811">
    <w:abstractNumId w:val="9"/>
  </w:num>
  <w:num w:numId="15" w16cid:durableId="45224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7A3"/>
    <w:rsid w:val="00001BEE"/>
    <w:rsid w:val="00044142"/>
    <w:rsid w:val="000934C2"/>
    <w:rsid w:val="000A26C2"/>
    <w:rsid w:val="000A75E0"/>
    <w:rsid w:val="000B43F6"/>
    <w:rsid w:val="00235451"/>
    <w:rsid w:val="002D47AE"/>
    <w:rsid w:val="002D53CB"/>
    <w:rsid w:val="003304C1"/>
    <w:rsid w:val="003547E8"/>
    <w:rsid w:val="003C6F94"/>
    <w:rsid w:val="00437F59"/>
    <w:rsid w:val="00440982"/>
    <w:rsid w:val="005C7757"/>
    <w:rsid w:val="005C7B88"/>
    <w:rsid w:val="00620FC7"/>
    <w:rsid w:val="00680BEC"/>
    <w:rsid w:val="006D4026"/>
    <w:rsid w:val="00703000"/>
    <w:rsid w:val="00735DC6"/>
    <w:rsid w:val="00766A5B"/>
    <w:rsid w:val="00773B31"/>
    <w:rsid w:val="007E6354"/>
    <w:rsid w:val="008352D9"/>
    <w:rsid w:val="008E07A3"/>
    <w:rsid w:val="008E1F34"/>
    <w:rsid w:val="00923D12"/>
    <w:rsid w:val="0094786C"/>
    <w:rsid w:val="00997F8D"/>
    <w:rsid w:val="00A62EA1"/>
    <w:rsid w:val="00AB71EE"/>
    <w:rsid w:val="00AE7604"/>
    <w:rsid w:val="00B91811"/>
    <w:rsid w:val="00CC0DE0"/>
    <w:rsid w:val="00CE14DF"/>
    <w:rsid w:val="00CE2BD3"/>
    <w:rsid w:val="00D1055F"/>
    <w:rsid w:val="00E35312"/>
    <w:rsid w:val="00E3683D"/>
    <w:rsid w:val="00ED2C01"/>
    <w:rsid w:val="00F20569"/>
    <w:rsid w:val="00F830B8"/>
    <w:rsid w:val="00F943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198D6"/>
  <w15:chartTrackingRefBased/>
  <w15:docId w15:val="{5881C68B-052C-410C-8E18-9FAC8D4C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eastAsia="Aptos" w:hAnsi="Aptos"/>
    </w:rPr>
  </w:style>
  <w:style w:type="paragraph" w:styleId="Titre1">
    <w:name w:val="heading 1"/>
    <w:basedOn w:val="Normal"/>
    <w:next w:val="Normal"/>
    <w:link w:val="Titre1Car"/>
    <w:uiPriority w:val="9"/>
    <w:qFormat/>
    <w:rsid w:val="008E0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E0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E07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E07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07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07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7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7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7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07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07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07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07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07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07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07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07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07A3"/>
    <w:rPr>
      <w:rFonts w:eastAsiaTheme="majorEastAsia" w:cstheme="majorBidi"/>
      <w:color w:val="272727" w:themeColor="text1" w:themeTint="D8"/>
    </w:rPr>
  </w:style>
  <w:style w:type="paragraph" w:styleId="Titre">
    <w:name w:val="Title"/>
    <w:basedOn w:val="Normal"/>
    <w:next w:val="Normal"/>
    <w:link w:val="TitreCar"/>
    <w:uiPriority w:val="10"/>
    <w:qFormat/>
    <w:rsid w:val="008E0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07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07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07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7A3"/>
    <w:pPr>
      <w:spacing w:before="160"/>
      <w:jc w:val="center"/>
    </w:pPr>
    <w:rPr>
      <w:i/>
      <w:iCs/>
      <w:color w:val="404040" w:themeColor="text1" w:themeTint="BF"/>
    </w:rPr>
  </w:style>
  <w:style w:type="character" w:customStyle="1" w:styleId="CitationCar">
    <w:name w:val="Citation Car"/>
    <w:basedOn w:val="Policepardfaut"/>
    <w:link w:val="Citation"/>
    <w:uiPriority w:val="29"/>
    <w:rsid w:val="008E07A3"/>
    <w:rPr>
      <w:i/>
      <w:iCs/>
      <w:color w:val="404040" w:themeColor="text1" w:themeTint="BF"/>
    </w:rPr>
  </w:style>
  <w:style w:type="paragraph" w:styleId="Paragraphedeliste">
    <w:name w:val="List Paragraph"/>
    <w:basedOn w:val="Normal"/>
    <w:uiPriority w:val="34"/>
    <w:qFormat/>
    <w:rsid w:val="008E07A3"/>
    <w:pPr>
      <w:ind w:left="720"/>
      <w:contextualSpacing/>
    </w:pPr>
  </w:style>
  <w:style w:type="character" w:styleId="Accentuationintense">
    <w:name w:val="Intense Emphasis"/>
    <w:basedOn w:val="Policepardfaut"/>
    <w:uiPriority w:val="21"/>
    <w:qFormat/>
    <w:rsid w:val="008E07A3"/>
    <w:rPr>
      <w:i/>
      <w:iCs/>
      <w:color w:val="0F4761" w:themeColor="accent1" w:themeShade="BF"/>
    </w:rPr>
  </w:style>
  <w:style w:type="paragraph" w:styleId="Citationintense">
    <w:name w:val="Intense Quote"/>
    <w:basedOn w:val="Normal"/>
    <w:next w:val="Normal"/>
    <w:link w:val="CitationintenseCar"/>
    <w:uiPriority w:val="30"/>
    <w:qFormat/>
    <w:rsid w:val="008E0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07A3"/>
    <w:rPr>
      <w:i/>
      <w:iCs/>
      <w:color w:val="0F4761" w:themeColor="accent1" w:themeShade="BF"/>
    </w:rPr>
  </w:style>
  <w:style w:type="character" w:styleId="Rfrenceintense">
    <w:name w:val="Intense Reference"/>
    <w:basedOn w:val="Policepardfaut"/>
    <w:uiPriority w:val="32"/>
    <w:qFormat/>
    <w:rsid w:val="008E07A3"/>
    <w:rPr>
      <w:b/>
      <w:bCs/>
      <w:smallCaps/>
      <w:color w:val="0F4761" w:themeColor="accent1" w:themeShade="BF"/>
      <w:spacing w:val="5"/>
    </w:rPr>
  </w:style>
  <w:style w:type="paragraph" w:styleId="En-tte">
    <w:name w:val="header"/>
    <w:basedOn w:val="Normal"/>
    <w:link w:val="En-tteCar"/>
    <w:uiPriority w:val="99"/>
    <w:unhideWhenUsed/>
    <w:rsid w:val="008E07A3"/>
    <w:pPr>
      <w:tabs>
        <w:tab w:val="center" w:pos="4536"/>
        <w:tab w:val="right" w:pos="9072"/>
      </w:tabs>
      <w:spacing w:after="0" w:line="240" w:lineRule="auto"/>
    </w:pPr>
  </w:style>
  <w:style w:type="character" w:customStyle="1" w:styleId="En-tteCar">
    <w:name w:val="En-tête Car"/>
    <w:basedOn w:val="Policepardfaut"/>
    <w:link w:val="En-tte"/>
    <w:uiPriority w:val="99"/>
    <w:rsid w:val="008E07A3"/>
  </w:style>
  <w:style w:type="paragraph" w:styleId="Pieddepage">
    <w:name w:val="footer"/>
    <w:basedOn w:val="Normal"/>
    <w:link w:val="PieddepageCar"/>
    <w:uiPriority w:val="99"/>
    <w:unhideWhenUsed/>
    <w:rsid w:val="008E07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07A3"/>
  </w:style>
  <w:style w:type="paragraph" w:styleId="En-ttedetabledesmatires">
    <w:name w:val="TOC Heading"/>
    <w:basedOn w:val="Titre1"/>
    <w:next w:val="Normal"/>
    <w:uiPriority w:val="39"/>
    <w:unhideWhenUsed/>
    <w:qFormat/>
    <w:rsid w:val="008E1F34"/>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8E1F34"/>
    <w:pPr>
      <w:spacing w:after="100"/>
    </w:pPr>
  </w:style>
  <w:style w:type="character" w:styleId="Lienhypertexte">
    <w:name w:val="Hyperlink"/>
    <w:basedOn w:val="Policepardfaut"/>
    <w:uiPriority w:val="99"/>
    <w:unhideWhenUsed/>
    <w:rsid w:val="008E1F34"/>
    <w:rPr>
      <w:color w:val="467886" w:themeColor="hyperlink"/>
      <w:u w:val="single"/>
    </w:rPr>
  </w:style>
  <w:style w:type="paragraph" w:styleId="TM2">
    <w:name w:val="toc 2"/>
    <w:basedOn w:val="Normal"/>
    <w:next w:val="Normal"/>
    <w:autoRedefine/>
    <w:uiPriority w:val="39"/>
    <w:unhideWhenUsed/>
    <w:rsid w:val="00AB71EE"/>
    <w:pPr>
      <w:spacing w:after="100"/>
      <w:ind w:left="240"/>
    </w:pPr>
  </w:style>
  <w:style w:type="paragraph" w:styleId="TM3">
    <w:name w:val="toc 3"/>
    <w:basedOn w:val="Normal"/>
    <w:next w:val="Normal"/>
    <w:autoRedefine/>
    <w:uiPriority w:val="39"/>
    <w:unhideWhenUsed/>
    <w:rsid w:val="00AB71E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21E18-505C-44EC-BABA-E7B5C553BAC4}">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2CB1F98B-C915-4359-B42B-2F81F9152250}">
  <ds:schemaRefs>
    <ds:schemaRef ds:uri="http://schemas.microsoft.com/sharepoint/v3/contenttype/forms"/>
  </ds:schemaRefs>
</ds:datastoreItem>
</file>

<file path=customXml/itemProps3.xml><?xml version="1.0" encoding="utf-8"?>
<ds:datastoreItem xmlns:ds="http://schemas.openxmlformats.org/officeDocument/2006/customXml" ds:itemID="{8DF1E910-2FC1-4BE0-8F9A-68F2C4DFF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DC874-DBC0-45C8-BBFC-1F433A42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1621</Words>
  <Characters>8918</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Oriol</dc:creator>
  <cp:keywords/>
  <dc:description/>
  <cp:lastModifiedBy>David Vandenborght</cp:lastModifiedBy>
  <cp:revision>11</cp:revision>
  <cp:lastPrinted>2025-08-14T09:45:00Z</cp:lastPrinted>
  <dcterms:created xsi:type="dcterms:W3CDTF">2025-07-22T08:22:00Z</dcterms:created>
  <dcterms:modified xsi:type="dcterms:W3CDTF">2026-06-08T15:50:00Z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