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C0410" w14:textId="77777777" w:rsidR="00DE67AE" w:rsidRDefault="00000000">
      <w:pPr>
        <w:ind w:right="-1"/>
        <w:jc w:val="right"/>
        <w:outlineLvl w:val="0"/>
        <w:rPr>
          <w:rFonts w:cs="Arial"/>
          <w:b/>
          <w:bCs/>
          <w:noProof/>
          <w:color w:val="808080"/>
          <w:sz w:val="22"/>
          <w:szCs w:val="22"/>
        </w:rPr>
      </w:pPr>
      <w:r>
        <w:rPr>
          <w:rFonts w:cs="Arial"/>
          <w:b/>
          <w:bCs/>
          <w:noProof/>
          <w:color w:val="808080"/>
          <w:sz w:val="22"/>
          <w:szCs w:val="22"/>
        </w:rPr>
        <mc:AlternateContent>
          <mc:Choice Requires="wps">
            <w:drawing>
              <wp:anchor distT="0" distB="0" distL="114300" distR="114300" simplePos="0" relativeHeight="251655680" behindDoc="0" locked="0" layoutInCell="0" allowOverlap="1" wp14:anchorId="054ABE03" wp14:editId="1F682E4B">
                <wp:simplePos x="0" y="0"/>
                <wp:positionH relativeFrom="margin">
                  <wp:align>right</wp:align>
                </wp:positionH>
                <wp:positionV relativeFrom="paragraph">
                  <wp:posOffset>8890</wp:posOffset>
                </wp:positionV>
                <wp:extent cx="6276975" cy="457200"/>
                <wp:effectExtent l="0" t="0" r="9525" b="0"/>
                <wp:wrapNone/>
                <wp:docPr id="11" name="Text Box 4" descr="Intitulé du profil : Technicien Support International N2, 6 ans d’expérienc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D26FF6" w14:textId="07EF8DDF" w:rsidR="00DE67AE" w:rsidRDefault="00000000">
                            <w:pPr>
                              <w:pStyle w:val="nb"/>
                              <w:spacing w:line="240" w:lineRule="auto"/>
                              <w:jc w:val="center"/>
                              <w:rPr>
                                <w:bCs/>
                                <w:i w:val="0"/>
                                <w:iCs/>
                                <w:color w:val="7030A0"/>
                                <w:szCs w:val="24"/>
                              </w:rPr>
                            </w:pPr>
                            <w:r>
                              <w:rPr>
                                <w:bCs/>
                                <w:i w:val="0"/>
                                <w:iCs/>
                                <w:color w:val="7030A0"/>
                                <w:szCs w:val="24"/>
                              </w:rPr>
                              <w:t>PMO SENIOR – PLAN DE CHARGE DSI, CLARITY PPM &amp; PILOTAGE BUDGÉTAIRE</w:t>
                            </w:r>
                          </w:p>
                          <w:p w14:paraId="791E0B54" w14:textId="77777777" w:rsidR="00DE67AE" w:rsidRDefault="00000000">
                            <w:pPr>
                              <w:pStyle w:val="nb"/>
                              <w:spacing w:line="240" w:lineRule="auto"/>
                              <w:jc w:val="center"/>
                              <w:rPr>
                                <w:bCs/>
                                <w:iCs/>
                                <w:color w:val="808080" w:themeColor="background1" w:themeShade="80"/>
                                <w:szCs w:val="24"/>
                              </w:rPr>
                            </w:pPr>
                            <w:r>
                              <w:rPr>
                                <w:bCs/>
                                <w:iCs/>
                                <w:color w:val="808080" w:themeColor="background1" w:themeShade="80"/>
                                <w:szCs w:val="24"/>
                              </w:rPr>
                              <w:t>Plus de 25 ans d’expérience</w:t>
                            </w:r>
                          </w:p>
                          <w:p w14:paraId="10A582FD" w14:textId="77777777" w:rsidR="00DE67AE" w:rsidRDefault="00DE67AE">
                            <w:pPr>
                              <w:pStyle w:val="nb"/>
                              <w:spacing w:line="240" w:lineRule="auto"/>
                              <w:ind w:left="1418"/>
                              <w:jc w:val="center"/>
                              <w:rPr>
                                <w:bCs/>
                                <w:i w:val="0"/>
                                <w:iCs/>
                                <w:color w:val="808080"/>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4ABE03" id="_x0000_t202" coordsize="21600,21600" o:spt="202" path="m,l,21600r21600,l21600,xe">
                <v:stroke joinstyle="miter"/>
                <v:path gradientshapeok="t" o:connecttype="rect"/>
              </v:shapetype>
              <v:shape id="Text Box 4" o:spid="_x0000_s1026" type="#_x0000_t202" alt="Intitulé du profil : Technicien Support International N2, 6 ans d’expérience" style="position:absolute;left:0;text-align:left;margin-left:443.05pt;margin-top:.7pt;width:494.25pt;height:36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" o:allowincell="f" stroked="f">
                <v:textbox>
                  <w:txbxContent>
                    <w:p w14:paraId="59D26FF6" w14:textId="07EF8DDF">
                      <w:pPr>
                        <w:pStyle w:val="nb"/>
                        <w:spacing w:line="240" w:lineRule="auto"/>
                        <w:jc w:val="center"/>
                        <w:rPr>
                          <w:bCs/>
                          <w:i w:val="0"/>
                          <w:iCs/>
                          <w:color w:val="7030A0"/>
                          <w:szCs w:val="24"/>
                        </w:rPr>
                      </w:pPr>
                      <w:r>
                        <w:rPr>
                          <w:bCs/>
                          <w:i w:val="0"/>
                          <w:iCs/>
                          <w:color w:val="7030A0"/>
                          <w:szCs w:val="24"/>
                        </w:rPr>
                        <w:t>PMO SENIOR – PLAN DE CHARGE DSI, CLARITY PPM &amp; PILOTAGE BUDGÉTAIRE</w:t>
                      </w:r>
                    </w:p>
                    <w:p w14:paraId="791E0B54" w14:textId="77777777">
                      <w:pPr>
                        <w:pStyle w:val="nb"/>
                        <w:spacing w:line="240" w:lineRule="auto"/>
                        <w:jc w:val="center"/>
                        <w:rPr>
                          <w:bCs/>
                          <w:iCs/>
                          <w:color w:val="808080" w:themeColor="background1" w:themeShade="80"/>
                          <w:szCs w:val="24"/>
                        </w:rPr>
                      </w:pPr>
                      <w:r>
                        <w:rPr>
                          <w:bCs/>
                          <w:iCs/>
                          <w:color w:val="808080" w:themeColor="background1" w:themeShade="80"/>
                          <w:szCs w:val="24"/>
                        </w:rPr>
                        <w:t>Plus de 25 ans d’expérience</w:t>
                      </w:r>
                    </w:p>
                    <w:p w14:paraId="10A582FD" w14:textId="77777777">
                      <w:pPr>
                        <w:pStyle w:val="nb"/>
                        <w:spacing w:line="240" w:lineRule="auto"/>
                        <w:ind w:left="1418"/>
                        <w:jc w:val="center"/>
                        <w:rPr>
                          <w:bCs/>
                          <w:i w:val="0"/>
                          <w:iCs/>
                          <w:color w:val="808080"/>
                          <w:sz w:val="22"/>
                          <w:szCs w:val="22"/>
                        </w:rPr>
                      </w:pPr>
                    </w:p>
                  </w:txbxContent>
                </v:textbox>
                <w10:wrap anchorx="margin"/>
              </v:shape>
            </w:pict>
          </mc:Fallback>
        </mc:AlternateContent>
      </w:r>
    </w:p>
    <w:p w14:paraId="2D4481C0" w14:textId="77777777" w:rsidR="00DE67AE" w:rsidRDefault="00DE67AE">
      <w:pPr>
        <w:spacing w:after="15" w:line="180" w:lineRule="auto"/>
        <w:jc w:val="left"/>
      </w:pPr>
    </w:p>
    <w:p w14:paraId="38327579" w14:textId="77777777" w:rsidR="00DE67AE" w:rsidRDefault="00DE67AE">
      <w:pPr>
        <w:spacing w:after="15" w:line="180" w:lineRule="auto"/>
        <w:jc w:val="left"/>
      </w:pPr>
    </w:p>
    <w:p w14:paraId="02D16AD1" w14:textId="77777777" w:rsidR="00DE67AE" w:rsidRDefault="00DE67AE">
      <w:pPr>
        <w:spacing w:after="15" w:line="180" w:lineRule="auto"/>
        <w:jc w:val="left"/>
      </w:pPr>
    </w:p>
    <w:p w14:paraId="36FB8ED2" w14:textId="77777777" w:rsidR="00DE67AE" w:rsidRDefault="00DE67AE">
      <w:pPr>
        <w:spacing w:after="20" w:line="180" w:lineRule="auto"/>
        <w:jc w:val="left"/>
      </w:pPr>
    </w:p>
    <w:p w14:paraId="6BA2DF49" w14:textId="77777777" w:rsidR="00DE67AE" w:rsidRDefault="00000000">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56704" behindDoc="0" locked="0" layoutInCell="1" allowOverlap="1" wp14:anchorId="7AC4A55F" wp14:editId="65091B34">
                <wp:simplePos x="0" y="0"/>
                <wp:positionH relativeFrom="margin">
                  <wp:posOffset>31750</wp:posOffset>
                </wp:positionH>
                <wp:positionV relativeFrom="paragraph">
                  <wp:posOffset>8255</wp:posOffset>
                </wp:positionV>
                <wp:extent cx="6165850" cy="233680"/>
                <wp:effectExtent l="0" t="0" r="25400" b="13970"/>
                <wp:wrapNone/>
                <wp:docPr id="301"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53" name="Groupe 53"/>
                        <wpg:cNvGrpSpPr/>
                        <wpg:grpSpPr>
                          <a:xfrm>
                            <a:off x="0" y="7315"/>
                            <a:ext cx="6165850" cy="217845"/>
                            <a:chOff x="1" y="80592"/>
                            <a:chExt cx="6166002" cy="218486"/>
                          </a:xfrm>
                        </wpg:grpSpPr>
                        <wps:wsp>
                          <wps:cNvPr id="54"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E7698C" w14:textId="77777777" w:rsidR="00DE67AE" w:rsidRDefault="00DE67AE">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5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33FA8FDF" w14:textId="77777777" w:rsidR="00DE67AE" w:rsidRDefault="00000000">
                              <w:pPr>
                                <w:rPr>
                                  <w:b/>
                                  <w:bCs/>
                                  <w:color w:val="FFFFFF" w:themeColor="background1"/>
                                </w:rPr>
                              </w:pPr>
                              <w:r>
                                <w:rPr>
                                  <w:b/>
                                  <w:bCs/>
                                  <w:color w:val="FFFFFF" w:themeColor="background1"/>
                                </w:rPr>
                                <w:t>ANALYSE TILENCIA</w:t>
                              </w:r>
                            </w:p>
                          </w:txbxContent>
                        </wps:txbx>
                        <wps:bodyPr rot="0" vert="horz" wrap="square" lIns="91440" tIns="45720" rIns="91440" bIns="45720" anchor="t" anchorCtr="0">
                          <a:noAutofit/>
                        </wps:bodyPr>
                      </wps:wsp>
                    </wpg:wgp>
                  </a:graphicData>
                </a:graphic>
              </wp:anchor>
            </w:drawing>
          </mc:Choice>
          <mc:Fallback>
            <w:pict>
              <v:group w14:anchorId="7AC4A55F" id="Bloc titre 301" o:spid="_x0000_s1027" alt="Titre de section : ANALYSE TILENCIA" style="position:absolute;margin-left:2.5pt;margin-top:.65pt;width:485.5pt;height:18.4pt;z-index:251656704;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">
                <v:group id="Groupe 53" o:spid="_x0000_s102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Rectangle : avec coin rogné 54" o:spid="_x0000_s102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42E7698C" w14:textId="77777777">
                          <w:pPr>
                            <w:jc w:val="left"/>
                            <w:rPr>
                              <w:b/>
                              <w:bCs/>
                              <w:sz w:val="18"/>
                              <w:szCs w:val="18"/>
                            </w:rPr>
                          </w:pPr>
                        </w:p>
                      </w:txbxContent>
                    </v:textbox>
                  </v:shape>
                  <v:line id="Connecteur droit 55" o:spid="_x0000_s103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" strokecolor="#4b0a78" strokeweight="2.25pt"/>
                </v:group>
                <v:shape id="Zone de texte 2" o:spid="_x0000_s103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33FA8FDF" w14:textId="77777777">
                        <w:pPr>
                          <w:rPr>
                            <w:b/>
                            <w:bCs/>
                            <w:color w:val="FFFFFF" w:themeColor="background1"/>
                          </w:rPr>
                        </w:pPr>
                        <w:r>
                          <w:rPr>
                            <w:b/>
                            <w:bCs/>
                            <w:color w:val="FFFFFF" w:themeColor="background1"/>
                          </w:rPr>
                          <w:t>ANALYSE TILENCIA</w:t>
                        </w:r>
                      </w:p>
                    </w:txbxContent>
                  </v:textbox>
                </v:shape>
                <w10:wrap anchorx="margin"/>
              </v:group>
            </w:pict>
          </mc:Fallback>
        </mc:AlternateContent>
      </w:r>
    </w:p>
    <w:p w14:paraId="625CF1EC" w14:textId="7E0AB7D8" w:rsidR="00DE67AE" w:rsidRDefault="00D731E8" w:rsidP="00D731E8">
      <w:pPr>
        <w:keepLines/>
        <w:spacing w:before="20" w:after="90" w:line="235" w:lineRule="auto"/>
        <w:ind w:firstLine="720"/>
        <w:rPr>
          <w:rFonts w:cs="Arial"/>
          <w:color w:val="666666"/>
          <w:sz w:val="18"/>
          <w:szCs w:val="18"/>
        </w:rPr>
      </w:pPr>
      <w:r>
        <w:rPr>
          <w:color w:val="666666"/>
          <w:sz w:val="18"/>
        </w:rPr>
        <w:t xml:space="preserve">ELA </w:t>
      </w:r>
      <w:r w:rsidR="00000000">
        <w:rPr>
          <w:color w:val="666666"/>
          <w:sz w:val="18"/>
        </w:rPr>
        <w:t>cumule plus de 25 ans d’expérience en PMO central, pilotage transverse et gestion de portefeuilles. Chez ADP, il a piloté le plan de charge DSI consolidé, l’allocation des ressources, les arbitrages capacitaires et le reporting PREV / BUILD / RUN.</w:t>
      </w:r>
    </w:p>
    <w:p w14:paraId="22B9D50F" w14:textId="77777777" w:rsidR="00DE67AE" w:rsidRDefault="00000000" w:rsidP="00D731E8">
      <w:pPr>
        <w:keepLines/>
        <w:spacing w:before="20" w:after="90" w:line="235" w:lineRule="auto"/>
        <w:ind w:firstLine="720"/>
        <w:rPr>
          <w:color w:val="666666"/>
          <w:sz w:val="18"/>
        </w:rPr>
      </w:pPr>
      <w:r>
        <w:rPr>
          <w:color w:val="666666"/>
          <w:sz w:val="18"/>
        </w:rPr>
        <w:t>Sur Clarity PPM, il dispose d’un niveau fonctionnel satisfaisant sur les ressources, affectations, projets, feuilles de temps, calendriers, charges et données budgétaires, ainsi que sur les extractions, contrôles, corrections et le support utilisateurs. Open Workbench : niveau débutant.</w:t>
      </w:r>
    </w:p>
    <w:p w14:paraId="5D34F2AE" w14:textId="6A5B976D" w:rsidR="00DE67AE" w:rsidRDefault="00000000" w:rsidP="00D731E8">
      <w:pPr>
        <w:keepLines/>
        <w:spacing w:before="20" w:after="90" w:line="235" w:lineRule="auto"/>
        <w:ind w:firstLine="720"/>
        <w:rPr>
          <w:rFonts w:cs="Arial"/>
          <w:color w:val="666666"/>
          <w:sz w:val="18"/>
          <w:szCs w:val="18"/>
        </w:rPr>
      </w:pPr>
      <w:r>
        <w:rPr>
          <w:color w:val="666666"/>
          <w:sz w:val="18"/>
        </w:rPr>
        <w:t>Il maîtrise Excel, les TCD, les fonctions complexes, VBA et les macros à un niveau avancé, notamment pour automatiser les reportings et maintenir des fichiers existants. Microsoft Access : niveau avancé à rafraîchir.</w:t>
      </w:r>
    </w:p>
    <w:p w14:paraId="0D006B3E" w14:textId="33CE1F3B" w:rsidR="00DE67AE" w:rsidRDefault="00000000" w:rsidP="00D731E8">
      <w:pPr>
        <w:keepLines/>
        <w:spacing w:before="20" w:after="90" w:line="235" w:lineRule="auto"/>
        <w:ind w:firstLine="720"/>
        <w:rPr>
          <w:rFonts w:cs="Arial"/>
          <w:color w:val="666666"/>
          <w:sz w:val="18"/>
          <w:szCs w:val="18"/>
        </w:rPr>
      </w:pPr>
      <w:r>
        <w:rPr>
          <w:color w:val="666666"/>
          <w:sz w:val="18"/>
        </w:rPr>
        <w:t>Il est également avancé sur les arrêtés mensuels, le consommé, le RAF, le réestimé, le prévisionnel, l’atterrissage et les supports de type Cockpit. Son expérience chez Malakoff Humanis renforce sa connaissance de la retraite complémentaire et du périmètre Relation Client.</w:t>
      </w:r>
    </w:p>
    <w:p w14:paraId="0EC54544" w14:textId="77777777" w:rsidR="00DE67AE" w:rsidRDefault="00DE67AE">
      <w:pPr>
        <w:keepLines/>
        <w:spacing w:before="20" w:after="90" w:line="235" w:lineRule="auto"/>
        <w:rPr>
          <w:rFonts w:cs="Arial"/>
          <w:color w:val="666666"/>
          <w:sz w:val="18"/>
          <w:szCs w:val="18"/>
        </w:rPr>
      </w:pPr>
    </w:p>
    <w:p w14:paraId="38CE09BE" w14:textId="2CEE1EB4" w:rsidR="00DE67AE" w:rsidRDefault="00000000">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57728" behindDoc="0" locked="0" layoutInCell="1" allowOverlap="1" wp14:anchorId="29659719" wp14:editId="39626190">
                <wp:simplePos x="0" y="0"/>
                <wp:positionH relativeFrom="margin">
                  <wp:posOffset>31750</wp:posOffset>
                </wp:positionH>
                <wp:positionV relativeFrom="paragraph">
                  <wp:posOffset>8255</wp:posOffset>
                </wp:positionV>
                <wp:extent cx="6165850" cy="233680"/>
                <wp:effectExtent l="0" t="0" r="25400" b="13970"/>
                <wp:wrapNone/>
                <wp:docPr id="401" name="Bloc titre 401" descr="Titre de section : EXPERIENCES PROFESSIONNELLES"/>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1" name="Groupe 53"/>
                        <wpg:cNvGrpSpPr/>
                        <wpg:grpSpPr>
                          <a:xfrm>
                            <a:off x="0" y="7315"/>
                            <a:ext cx="6165850" cy="217845"/>
                            <a:chOff x="1" y="80592"/>
                            <a:chExt cx="6166002" cy="218486"/>
                          </a:xfrm>
                        </wpg:grpSpPr>
                        <wps:wsp>
                          <wps:cNvPr id="2"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5EC381" w14:textId="77777777" w:rsidR="00DE67AE" w:rsidRDefault="00DE67AE">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4"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71D0709B" w14:textId="77777777" w:rsidR="00DE67AE" w:rsidRDefault="00000000">
                              <w:pPr>
                                <w:rPr>
                                  <w:b/>
                                  <w:bCs/>
                                  <w:color w:val="FFFFFF" w:themeColor="background1"/>
                                </w:rPr>
                              </w:pPr>
                              <w:r>
                                <w:rPr>
                                  <w:b/>
                                  <w:bCs/>
                                  <w:color w:val="FFFFFF" w:themeColor="background1"/>
                                </w:rPr>
                                <w:t>EXPERIENCES PROFESSIONNELLES</w:t>
                              </w:r>
                            </w:p>
                          </w:txbxContent>
                        </wps:txbx>
                        <wps:bodyPr rot="0" vert="horz" wrap="square" lIns="91440" tIns="45720" rIns="91440" bIns="45720" anchor="t" anchorCtr="0">
                          <a:noAutofit/>
                        </wps:bodyPr>
                      </wps:wsp>
                    </wpg:wgp>
                  </a:graphicData>
                </a:graphic>
              </wp:anchor>
            </w:drawing>
          </mc:Choice>
          <mc:Fallback>
            <w:pict>
              <v:group w14:anchorId="29659719" id="Bloc titre 401" o:spid="_x0000_s1032" alt="Titre de section : EXPERIENCES PROFESSIONNELLES" style="position:absolute;margin-left:2.5pt;margin-top:.65pt;width:485.5pt;height:18.4pt;z-index:251657728;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">
                <v:group id="Groupe 53" o:spid="_x0000_s1033"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Rectangle : avec coin rogné 54" o:spid="_x0000_s103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545EC381" w14:textId="77777777">
                          <w:pPr>
                            <w:jc w:val="left"/>
                            <w:rPr>
                              <w:b/>
                              <w:bCs/>
                              <w:sz w:val="18"/>
                              <w:szCs w:val="18"/>
                            </w:rPr>
                          </w:pPr>
                        </w:p>
                      </w:txbxContent>
                    </v:textbox>
                  </v:shape>
                  <v:line id="Connecteur droit 55" o:spid="_x0000_s1035"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" strokecolor="#4b0a78" strokeweight="2.25pt"/>
                </v:group>
                <v:shape id="Zone de texte 2" o:spid="_x0000_s103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71D0709B" w14:textId="77777777">
                        <w:pPr>
                          <w:rPr>
                            <w:b/>
                            <w:bCs/>
                            <w:color w:val="FFFFFF" w:themeColor="background1"/>
                          </w:rPr>
                        </w:pPr>
                        <w:r>
                          <w:rPr>
                            <w:b/>
                            <w:bCs/>
                            <w:color w:val="FFFFFF" w:themeColor="background1"/>
                          </w:rPr>
                          <w:t>EXPERIENCES PROFESSIONNELLES</w:t>
                        </w:r>
                      </w:p>
                    </w:txbxContent>
                  </v:textbox>
                </v:shape>
                <w10:wrap anchorx="margin"/>
              </v:group>
            </w:pict>
          </mc:Fallback>
        </mc:AlternateContent>
      </w:r>
    </w:p>
    <w:p w14:paraId="0E2E04E4" w14:textId="7A4B60D0" w:rsidR="00DE67AE" w:rsidRDefault="00000000">
      <w:pPr>
        <w:keepNext/>
        <w:spacing w:before="90" w:line="215" w:lineRule="auto"/>
        <w:jc w:val="left"/>
      </w:pPr>
      <w:r>
        <w:rPr>
          <w:b/>
          <w:color w:val="4B0A78"/>
          <w:sz w:val="18"/>
        </w:rPr>
        <w:t>CAISSE DES DÉPÔTS / DOCAPOSTE, de mars 2025 à juin 2026  |  1 an 4 mois</w:t>
      </w:r>
    </w:p>
    <w:p w14:paraId="167E6484" w14:textId="77777777" w:rsidR="00DE67AE" w:rsidRDefault="00000000">
      <w:pPr>
        <w:keepNext/>
        <w:spacing w:after="65" w:line="210" w:lineRule="auto"/>
        <w:jc w:val="left"/>
      </w:pPr>
      <w:r>
        <w:rPr>
          <w:b/>
          <w:i/>
          <w:color w:val="808080"/>
          <w:sz w:val="18"/>
        </w:rPr>
        <w:t>PMO Portefeuille Data &amp; IA – Consultant senior</w:t>
      </w:r>
    </w:p>
    <w:p w14:paraId="09E2CC96" w14:textId="77777777" w:rsidR="00DE67AE" w:rsidRDefault="00000000">
      <w:pPr>
        <w:keepNext/>
        <w:spacing w:after="25" w:line="205" w:lineRule="auto"/>
        <w:jc w:val="left"/>
      </w:pPr>
      <w:r>
        <w:rPr>
          <w:b/>
          <w:color w:val="3F3F3F"/>
          <w:sz w:val="18"/>
        </w:rPr>
        <w:t>Principales responsabilités :</w:t>
      </w:r>
    </w:p>
    <w:p w14:paraId="5CCF458C" w14:textId="77777777" w:rsidR="00DE67AE" w:rsidRDefault="00000000">
      <w:pPr>
        <w:keepLines/>
        <w:spacing w:line="205" w:lineRule="auto"/>
        <w:ind w:left="510" w:hanging="255"/>
        <w:jc w:val="left"/>
      </w:pPr>
      <w:r>
        <w:rPr>
          <w:color w:val="666666"/>
          <w:sz w:val="18"/>
        </w:rPr>
        <w:t>• Pilotage opérationnel d’un portefeuille Data &amp; IA et alignement des initiatives sur les priorités stratégiques.</w:t>
      </w:r>
    </w:p>
    <w:p w14:paraId="16ABE866" w14:textId="77777777" w:rsidR="00DE67AE" w:rsidRDefault="00000000">
      <w:pPr>
        <w:keepLines/>
        <w:spacing w:line="205" w:lineRule="auto"/>
        <w:ind w:left="510" w:hanging="255"/>
        <w:jc w:val="left"/>
      </w:pPr>
      <w:r>
        <w:rPr>
          <w:color w:val="666666"/>
          <w:sz w:val="18"/>
        </w:rPr>
        <w:t>• Recueil et priorisation des cas d’usage ; gestion de la capacité à faire et du flux de valeur.</w:t>
      </w:r>
    </w:p>
    <w:p w14:paraId="5BFF510B" w14:textId="77777777" w:rsidR="00DE67AE" w:rsidRDefault="00000000">
      <w:pPr>
        <w:keepLines/>
        <w:spacing w:line="205" w:lineRule="auto"/>
        <w:ind w:left="510" w:hanging="255"/>
        <w:jc w:val="left"/>
      </w:pPr>
      <w:r>
        <w:rPr>
          <w:color w:val="666666"/>
          <w:sz w:val="18"/>
        </w:rPr>
        <w:t>• Animation des instances de pilotage ; production des KPI, OKR et reportings pour les arbitrages.</w:t>
      </w:r>
    </w:p>
    <w:p w14:paraId="1294241F" w14:textId="582C866A" w:rsidR="00DE67AE" w:rsidRDefault="00000000" w:rsidP="00D731E8">
      <w:pPr>
        <w:keepLines/>
        <w:spacing w:line="205" w:lineRule="auto"/>
        <w:ind w:left="510" w:hanging="255"/>
        <w:jc w:val="left"/>
      </w:pPr>
      <w:r>
        <w:rPr>
          <w:color w:val="666666"/>
          <w:sz w:val="18"/>
        </w:rPr>
        <w:t>• Coordination des parties prenantes métiers, IT, architecture et data ; déploiement des standards de pilotage.</w:t>
      </w:r>
    </w:p>
    <w:p w14:paraId="583A785A" w14:textId="77777777" w:rsidR="00DE67AE" w:rsidRDefault="00000000">
      <w:pPr>
        <w:keepLines/>
        <w:spacing w:before="30" w:after="65" w:line="205" w:lineRule="auto"/>
        <w:jc w:val="left"/>
        <w:rPr>
          <w:i/>
          <w:color w:val="666666"/>
          <w:sz w:val="18"/>
        </w:rPr>
      </w:pPr>
      <w:r>
        <w:rPr>
          <w:b/>
          <w:i/>
          <w:color w:val="4B0A78"/>
          <w:sz w:val="18"/>
        </w:rPr>
        <w:t xml:space="preserve">Impact : </w:t>
      </w:r>
      <w:r>
        <w:rPr>
          <w:i/>
          <w:color w:val="666666"/>
          <w:sz w:val="18"/>
        </w:rPr>
        <w:t>Structuration et priorisation de 179 cas d’usage répartis en 20 chantiers.</w:t>
      </w:r>
    </w:p>
    <w:p w14:paraId="14862BCF" w14:textId="77777777" w:rsidR="00DE67AE" w:rsidRDefault="00DE67AE">
      <w:pPr>
        <w:keepLines/>
        <w:spacing w:before="30" w:after="65" w:line="205" w:lineRule="auto"/>
        <w:jc w:val="left"/>
      </w:pPr>
    </w:p>
    <w:p w14:paraId="5627EC49" w14:textId="77777777" w:rsidR="00DE67AE" w:rsidRDefault="00000000">
      <w:pPr>
        <w:keepNext/>
        <w:spacing w:before="90" w:line="215" w:lineRule="auto"/>
        <w:jc w:val="left"/>
      </w:pPr>
      <w:r>
        <w:rPr>
          <w:b/>
          <w:color w:val="4B0A78"/>
          <w:sz w:val="18"/>
        </w:rPr>
        <w:t>GROUPE AÉROPORTS DE PARIS, de nov. 2023 à déc. 2024  |  1 an 2 mois</w:t>
      </w:r>
    </w:p>
    <w:p w14:paraId="54A09352" w14:textId="77777777" w:rsidR="00DE67AE" w:rsidRDefault="00000000">
      <w:pPr>
        <w:keepNext/>
        <w:spacing w:after="65" w:line="210" w:lineRule="auto"/>
        <w:jc w:val="left"/>
      </w:pPr>
      <w:r>
        <w:rPr>
          <w:b/>
          <w:i/>
          <w:color w:val="808080"/>
          <w:sz w:val="18"/>
        </w:rPr>
        <w:t>PMO Central – Plan de charge, capacité et gouvernance DSI</w:t>
      </w:r>
    </w:p>
    <w:p w14:paraId="2F4092B9" w14:textId="77777777" w:rsidR="00DE67AE" w:rsidRDefault="00000000">
      <w:pPr>
        <w:keepNext/>
        <w:spacing w:after="25" w:line="205" w:lineRule="auto"/>
        <w:jc w:val="left"/>
      </w:pPr>
      <w:r>
        <w:rPr>
          <w:b/>
          <w:color w:val="3F3F3F"/>
          <w:sz w:val="18"/>
        </w:rPr>
        <w:t>Principales responsabilités :</w:t>
      </w:r>
    </w:p>
    <w:p w14:paraId="5B498631" w14:textId="77777777" w:rsidR="00DE67AE" w:rsidRDefault="00000000">
      <w:pPr>
        <w:keepLines/>
        <w:spacing w:line="205" w:lineRule="auto"/>
        <w:ind w:left="510" w:hanging="255"/>
        <w:jc w:val="left"/>
      </w:pPr>
      <w:r>
        <w:rPr>
          <w:color w:val="666666"/>
          <w:sz w:val="18"/>
        </w:rPr>
        <w:t>• Pilotage du plan de charge DSI consolidé, allocation des ressources et affectation des compétences rares.</w:t>
      </w:r>
    </w:p>
    <w:p w14:paraId="2EADEE7A" w14:textId="77777777" w:rsidR="00DE67AE" w:rsidRDefault="00000000">
      <w:pPr>
        <w:keepLines/>
        <w:spacing w:line="205" w:lineRule="auto"/>
        <w:ind w:left="510" w:hanging="255"/>
        <w:jc w:val="left"/>
      </w:pPr>
      <w:r>
        <w:rPr>
          <w:color w:val="666666"/>
          <w:sz w:val="18"/>
        </w:rPr>
        <w:t>• Pilotage du portefeuille au regard de la capacité à faire, de la demande et des priorités du SDSI.</w:t>
      </w:r>
    </w:p>
    <w:p w14:paraId="61A28EA4" w14:textId="77777777" w:rsidR="00DE67AE" w:rsidRDefault="00000000">
      <w:pPr>
        <w:keepLines/>
        <w:spacing w:line="205" w:lineRule="auto"/>
        <w:ind w:left="510" w:hanging="255"/>
        <w:jc w:val="left"/>
      </w:pPr>
      <w:r>
        <w:rPr>
          <w:color w:val="666666"/>
          <w:sz w:val="18"/>
        </w:rPr>
        <w:t>• Animation des comités Roadmap capacitaires et revues de portefeuille ; préparation des arbitrages pour le CODIR.</w:t>
      </w:r>
    </w:p>
    <w:p w14:paraId="277CC1F4" w14:textId="70EDEC52" w:rsidR="00DE67AE" w:rsidRDefault="00000000" w:rsidP="00D731E8">
      <w:pPr>
        <w:keepLines/>
        <w:spacing w:line="205" w:lineRule="auto"/>
        <w:ind w:left="510" w:hanging="255"/>
        <w:jc w:val="left"/>
      </w:pPr>
      <w:r>
        <w:rPr>
          <w:color w:val="666666"/>
          <w:sz w:val="18"/>
        </w:rPr>
        <w:t>• Reporting PREV / BUILD / RUN, KPI et OKR ; suivi des risques et dépendances, accompagnement des PMO et chefs de projet.</w:t>
      </w:r>
    </w:p>
    <w:p w14:paraId="782972A5" w14:textId="77777777" w:rsidR="00DE67AE" w:rsidRDefault="00000000">
      <w:pPr>
        <w:keepLines/>
        <w:spacing w:before="30" w:after="65" w:line="205" w:lineRule="auto"/>
        <w:jc w:val="left"/>
      </w:pPr>
      <w:r>
        <w:rPr>
          <w:b/>
          <w:i/>
          <w:color w:val="4B0A78"/>
          <w:sz w:val="18"/>
        </w:rPr>
        <w:t xml:space="preserve">Impact : </w:t>
      </w:r>
      <w:r>
        <w:rPr>
          <w:i/>
          <w:color w:val="666666"/>
          <w:sz w:val="18"/>
        </w:rPr>
        <w:t>Vision consolidée du plan de charge et des arbitrages capacitaires mise à disposition du CODIR.</w:t>
      </w:r>
    </w:p>
    <w:p w14:paraId="69202F4E" w14:textId="77777777" w:rsidR="00DE67AE" w:rsidRDefault="00DE67AE">
      <w:pPr>
        <w:spacing w:line="200" w:lineRule="auto"/>
        <w:jc w:val="left"/>
      </w:pPr>
    </w:p>
    <w:p w14:paraId="12C3BDD9" w14:textId="77777777" w:rsidR="00DE67AE" w:rsidRDefault="00000000">
      <w:pPr>
        <w:keepNext/>
        <w:spacing w:before="90" w:line="215" w:lineRule="auto"/>
        <w:jc w:val="left"/>
      </w:pPr>
      <w:r>
        <w:rPr>
          <w:b/>
          <w:color w:val="4B0A78"/>
          <w:sz w:val="18"/>
        </w:rPr>
        <w:t>MALAKOFF HUMANIS, de mai 2022 à avr. 2023  |  1 an</w:t>
      </w:r>
    </w:p>
    <w:p w14:paraId="7A56E0A1" w14:textId="77777777" w:rsidR="00DE67AE" w:rsidRDefault="00000000">
      <w:pPr>
        <w:keepNext/>
        <w:spacing w:after="65" w:line="210" w:lineRule="auto"/>
        <w:jc w:val="left"/>
      </w:pPr>
      <w:r>
        <w:rPr>
          <w:b/>
          <w:i/>
          <w:color w:val="808080"/>
          <w:sz w:val="18"/>
        </w:rPr>
        <w:t>PMO – Relation Client, Épargne et Retraite complémentaire</w:t>
      </w:r>
    </w:p>
    <w:p w14:paraId="71F48688" w14:textId="77777777" w:rsidR="00DE67AE" w:rsidRDefault="00000000">
      <w:pPr>
        <w:keepNext/>
        <w:spacing w:after="25" w:line="205" w:lineRule="auto"/>
        <w:jc w:val="left"/>
      </w:pPr>
      <w:r>
        <w:rPr>
          <w:b/>
          <w:color w:val="3F3F3F"/>
          <w:sz w:val="18"/>
        </w:rPr>
        <w:t>Principales responsabilités :</w:t>
      </w:r>
    </w:p>
    <w:p w14:paraId="4CDA0DF6" w14:textId="77777777" w:rsidR="00DE67AE" w:rsidRDefault="00000000">
      <w:pPr>
        <w:keepLines/>
        <w:spacing w:line="205" w:lineRule="auto"/>
        <w:ind w:left="510" w:hanging="255"/>
        <w:jc w:val="left"/>
      </w:pPr>
      <w:r>
        <w:rPr>
          <w:color w:val="666666"/>
          <w:sz w:val="18"/>
        </w:rPr>
        <w:t>• Intervention au sein de la DSI Relation Client, Épargne, gestion intermédiée, assurance et retraite complémentaire.</w:t>
      </w:r>
    </w:p>
    <w:p w14:paraId="64566843" w14:textId="77777777" w:rsidR="00DE67AE" w:rsidRDefault="00000000">
      <w:pPr>
        <w:keepLines/>
        <w:spacing w:line="205" w:lineRule="auto"/>
        <w:ind w:left="510" w:hanging="255"/>
        <w:jc w:val="left"/>
      </w:pPr>
      <w:r>
        <w:rPr>
          <w:color w:val="666666"/>
          <w:sz w:val="18"/>
        </w:rPr>
        <w:t>• Pilotage de trois programmes : Ambition Épargne, traitement des demandes clients et stratégie de migration GED.</w:t>
      </w:r>
    </w:p>
    <w:p w14:paraId="61EAC0A2" w14:textId="77777777" w:rsidR="00DE67AE" w:rsidRDefault="00000000">
      <w:pPr>
        <w:keepLines/>
        <w:spacing w:line="205" w:lineRule="auto"/>
        <w:ind w:left="510" w:hanging="255"/>
        <w:jc w:val="left"/>
      </w:pPr>
      <w:r>
        <w:rPr>
          <w:color w:val="666666"/>
          <w:sz w:val="18"/>
        </w:rPr>
        <w:t>• Suivi du BUILD : périmètre, livrables, planning, budget, capacité à faire, plans d’action, risques et impacts.</w:t>
      </w:r>
    </w:p>
    <w:p w14:paraId="05ECEF15" w14:textId="77777777" w:rsidR="00DE67AE" w:rsidRDefault="00000000">
      <w:pPr>
        <w:keepLines/>
        <w:spacing w:line="205" w:lineRule="auto"/>
        <w:ind w:left="510" w:hanging="255"/>
        <w:jc w:val="left"/>
      </w:pPr>
      <w:r>
        <w:rPr>
          <w:color w:val="666666"/>
          <w:sz w:val="18"/>
        </w:rPr>
        <w:t>• Animation des COPROJ, COSTREAM et COPIL ; formalisation des décisions et préparation des arbitrages.</w:t>
      </w:r>
    </w:p>
    <w:p w14:paraId="6D9C9F24" w14:textId="77777777" w:rsidR="00DE67AE" w:rsidRDefault="00000000">
      <w:pPr>
        <w:keepLines/>
        <w:spacing w:line="205" w:lineRule="auto"/>
        <w:ind w:left="510" w:hanging="255"/>
        <w:jc w:val="left"/>
      </w:pPr>
      <w:r>
        <w:rPr>
          <w:color w:val="666666"/>
          <w:sz w:val="18"/>
        </w:rPr>
        <w:t>• Construction des KPI et tableaux de bord, reporting aux instances et sécurisation du delivery IT et des recettes.</w:t>
      </w:r>
    </w:p>
    <w:p w14:paraId="2C920FDB" w14:textId="77777777" w:rsidR="00DE67AE" w:rsidRDefault="00000000">
      <w:pPr>
        <w:keepLines/>
        <w:spacing w:line="205" w:lineRule="auto"/>
        <w:ind w:left="510" w:hanging="255"/>
        <w:jc w:val="left"/>
      </w:pPr>
      <w:r>
        <w:rPr>
          <w:color w:val="666666"/>
          <w:sz w:val="18"/>
        </w:rPr>
        <w:t>• Accompagnement méthodologique et conduite du changement sur les chantiers CRM, GED, espaces clients et épargne retraite.</w:t>
      </w:r>
    </w:p>
    <w:p w14:paraId="51563763" w14:textId="7959A87D" w:rsidR="00DE67AE" w:rsidRDefault="00000000">
      <w:pPr>
        <w:keepLines/>
        <w:spacing w:before="30" w:after="65" w:line="205" w:lineRule="auto"/>
        <w:jc w:val="left"/>
        <w:rPr>
          <w:rFonts w:cs="Arial"/>
          <w:i/>
          <w:iCs/>
          <w:color w:val="666666"/>
          <w:sz w:val="18"/>
          <w:szCs w:val="18"/>
        </w:rPr>
      </w:pPr>
      <w:r>
        <w:rPr>
          <w:b/>
          <w:i/>
          <w:color w:val="4B0A78"/>
          <w:sz w:val="18"/>
        </w:rPr>
        <w:t xml:space="preserve">Impact : </w:t>
      </w:r>
      <w:r>
        <w:rPr>
          <w:i/>
          <w:color w:val="666666"/>
          <w:sz w:val="18"/>
        </w:rPr>
        <w:t>Pilotage transverse de trois programmes stratégiques sur le périmètre Relation Client et retraite complémentaire.</w:t>
      </w:r>
    </w:p>
    <w:p w14:paraId="2D7A3E89" w14:textId="77777777" w:rsidR="00DE67AE" w:rsidRDefault="00DE67AE">
      <w:pPr>
        <w:keepLines/>
        <w:spacing w:before="30" w:after="65" w:line="205" w:lineRule="auto"/>
        <w:jc w:val="left"/>
      </w:pPr>
    </w:p>
    <w:p w14:paraId="45BDE489" w14:textId="77777777" w:rsidR="00DE67AE" w:rsidRDefault="00000000">
      <w:pPr>
        <w:keepNext/>
        <w:pageBreakBefore/>
        <w:spacing w:before="90" w:line="215" w:lineRule="auto"/>
        <w:jc w:val="left"/>
      </w:pPr>
      <w:r>
        <w:rPr>
          <w:b/>
          <w:color w:val="4B0A78"/>
          <w:sz w:val="18"/>
        </w:rPr>
        <w:lastRenderedPageBreak/>
        <w:t>LA FRANCE MUTUALISTE, de mai 2021 à mai 2022  |  1 an 1 mois</w:t>
      </w:r>
    </w:p>
    <w:p w14:paraId="20F542A6" w14:textId="77777777" w:rsidR="00DE67AE" w:rsidRDefault="00000000">
      <w:pPr>
        <w:keepNext/>
        <w:spacing w:after="65" w:line="210" w:lineRule="auto"/>
        <w:jc w:val="left"/>
      </w:pPr>
      <w:r>
        <w:rPr>
          <w:b/>
          <w:i/>
          <w:color w:val="808080"/>
          <w:sz w:val="18"/>
        </w:rPr>
        <w:t>PMO stratégique – Portefeuille, budget et capacité à faire</w:t>
      </w:r>
    </w:p>
    <w:p w14:paraId="7C0A9CD6" w14:textId="77777777" w:rsidR="00DE67AE" w:rsidRDefault="00000000">
      <w:pPr>
        <w:keepNext/>
        <w:spacing w:after="25" w:line="205" w:lineRule="auto"/>
        <w:jc w:val="left"/>
      </w:pPr>
      <w:r>
        <w:rPr>
          <w:b/>
          <w:color w:val="3F3F3F"/>
          <w:sz w:val="18"/>
        </w:rPr>
        <w:t>Principales responsabilités :</w:t>
      </w:r>
    </w:p>
    <w:p w14:paraId="3E2FC956" w14:textId="77777777" w:rsidR="00DE67AE" w:rsidRDefault="00000000">
      <w:pPr>
        <w:keepLines/>
        <w:spacing w:line="205" w:lineRule="auto"/>
        <w:ind w:left="510" w:hanging="255"/>
        <w:jc w:val="left"/>
      </w:pPr>
      <w:r>
        <w:rPr>
          <w:color w:val="666666"/>
          <w:sz w:val="18"/>
        </w:rPr>
        <w:t>• Pilotage du portefeuille global : périmètre, livrables, planning, budget, plans d’action, risques et points de blocage.</w:t>
      </w:r>
    </w:p>
    <w:p w14:paraId="4A4BAB01" w14:textId="77777777" w:rsidR="00DE67AE" w:rsidRDefault="00000000">
      <w:pPr>
        <w:keepLines/>
        <w:spacing w:line="205" w:lineRule="auto"/>
        <w:ind w:left="510" w:hanging="255"/>
        <w:jc w:val="left"/>
      </w:pPr>
      <w:r>
        <w:rPr>
          <w:color w:val="666666"/>
          <w:sz w:val="18"/>
        </w:rPr>
        <w:t>• Consolidation du budget, du plan de charge et de la capacité à faire ; allocation des ressources et suivi des jalons.</w:t>
      </w:r>
    </w:p>
    <w:p w14:paraId="53EC1922" w14:textId="77777777" w:rsidR="00DE67AE" w:rsidRDefault="00000000">
      <w:pPr>
        <w:keepLines/>
        <w:spacing w:line="205" w:lineRule="auto"/>
        <w:ind w:left="510" w:hanging="255"/>
        <w:jc w:val="left"/>
      </w:pPr>
      <w:r>
        <w:rPr>
          <w:color w:val="666666"/>
          <w:sz w:val="18"/>
        </w:rPr>
        <w:t>• Préparation et animation des COPROJ, COPIL, RMPP et du COMEX Portefeuille ; préparation des arbitrages avec les métiers.</w:t>
      </w:r>
    </w:p>
    <w:p w14:paraId="238D0A0A" w14:textId="77777777" w:rsidR="00DE67AE" w:rsidRDefault="00000000">
      <w:pPr>
        <w:keepLines/>
        <w:spacing w:line="205" w:lineRule="auto"/>
        <w:ind w:left="510" w:hanging="255"/>
        <w:jc w:val="left"/>
      </w:pPr>
      <w:r>
        <w:rPr>
          <w:color w:val="666666"/>
          <w:sz w:val="18"/>
        </w:rPr>
        <w:t>• Mise en place de reportings automatisés, KPI, plannings, cartographie des risques et tableaux de suivi.</w:t>
      </w:r>
    </w:p>
    <w:p w14:paraId="74C6EF8E" w14:textId="77777777" w:rsidR="00DE67AE" w:rsidRDefault="00000000">
      <w:pPr>
        <w:keepLines/>
        <w:spacing w:line="205" w:lineRule="auto"/>
        <w:ind w:left="510" w:hanging="255"/>
        <w:jc w:val="left"/>
      </w:pPr>
      <w:r>
        <w:rPr>
          <w:color w:val="666666"/>
          <w:sz w:val="18"/>
        </w:rPr>
        <w:t>• Alignement des projets sur la stratégie, définition du cadre de gouvernance et animation de la communauté de gestion de projets.</w:t>
      </w:r>
    </w:p>
    <w:p w14:paraId="0EE11732" w14:textId="77777777" w:rsidR="00DE67AE" w:rsidRDefault="00000000">
      <w:pPr>
        <w:keepLines/>
        <w:spacing w:before="30" w:after="65" w:line="205" w:lineRule="auto"/>
        <w:jc w:val="left"/>
        <w:rPr>
          <w:rFonts w:cs="Arial"/>
          <w:i/>
          <w:iCs/>
          <w:color w:val="666666"/>
          <w:sz w:val="18"/>
          <w:szCs w:val="18"/>
        </w:rPr>
      </w:pPr>
      <w:r>
        <w:rPr>
          <w:b/>
          <w:i/>
          <w:color w:val="4B0A78"/>
          <w:sz w:val="18"/>
        </w:rPr>
        <w:t xml:space="preserve">Impact : </w:t>
      </w:r>
      <w:r>
        <w:rPr>
          <w:i/>
          <w:color w:val="666666"/>
          <w:sz w:val="18"/>
        </w:rPr>
        <w:t>Données de portefeuille, budget et capacité à faire consolidées pour les instances de décision.</w:t>
      </w:r>
    </w:p>
    <w:p w14:paraId="6C438F56" w14:textId="77777777" w:rsidR="00DE67AE" w:rsidRDefault="00DE67AE">
      <w:pPr>
        <w:keepLines/>
        <w:spacing w:before="30" w:after="65" w:line="205" w:lineRule="auto"/>
        <w:jc w:val="left"/>
      </w:pPr>
    </w:p>
    <w:p w14:paraId="76DEBC97" w14:textId="77777777" w:rsidR="00DE67AE" w:rsidRDefault="00000000">
      <w:pPr>
        <w:keepNext/>
        <w:spacing w:before="90" w:line="215" w:lineRule="auto"/>
        <w:jc w:val="left"/>
      </w:pPr>
      <w:r>
        <w:rPr>
          <w:b/>
          <w:color w:val="4B0A78"/>
          <w:sz w:val="18"/>
        </w:rPr>
        <w:t>BNP PARIBAS / CNAM, de janv. 2013 à août 2018  |  5 ans 8 mois</w:t>
      </w:r>
    </w:p>
    <w:p w14:paraId="59F5F1DA" w14:textId="77777777" w:rsidR="00DE67AE" w:rsidRDefault="00000000">
      <w:pPr>
        <w:keepNext/>
        <w:spacing w:after="65" w:line="210" w:lineRule="auto"/>
        <w:jc w:val="left"/>
      </w:pPr>
      <w:r>
        <w:rPr>
          <w:b/>
          <w:i/>
          <w:color w:val="808080"/>
          <w:sz w:val="18"/>
        </w:rPr>
        <w:t>PMO Central – Demand, Portfolio &amp; Capacity Management</w:t>
      </w:r>
    </w:p>
    <w:p w14:paraId="4B4C21EB" w14:textId="77777777" w:rsidR="00DE67AE" w:rsidRDefault="00000000">
      <w:pPr>
        <w:keepNext/>
        <w:spacing w:after="25" w:line="205" w:lineRule="auto"/>
        <w:jc w:val="left"/>
      </w:pPr>
      <w:r>
        <w:rPr>
          <w:b/>
          <w:color w:val="3F3F3F"/>
          <w:sz w:val="18"/>
        </w:rPr>
        <w:t>Principales responsabilités :</w:t>
      </w:r>
    </w:p>
    <w:p w14:paraId="42BE1986" w14:textId="77777777" w:rsidR="00DE67AE" w:rsidRDefault="00000000">
      <w:pPr>
        <w:keepLines/>
        <w:spacing w:line="205" w:lineRule="auto"/>
        <w:ind w:left="510" w:hanging="255"/>
        <w:jc w:val="left"/>
      </w:pPr>
      <w:r>
        <w:rPr>
          <w:color w:val="666666"/>
          <w:sz w:val="18"/>
        </w:rPr>
        <w:t>• Chez BNP Paribas : gouvernance du portefeuille unique des demandes métier, gestion des budgets, arbitrages, capacity management et priorisation sous Clarity PPM.</w:t>
      </w:r>
    </w:p>
    <w:p w14:paraId="11E60BC4" w14:textId="77777777" w:rsidR="00DE67AE" w:rsidRDefault="00000000">
      <w:pPr>
        <w:keepLines/>
        <w:spacing w:line="205" w:lineRule="auto"/>
        <w:ind w:left="510" w:hanging="255"/>
        <w:jc w:val="left"/>
      </w:pPr>
      <w:r>
        <w:rPr>
          <w:color w:val="666666"/>
          <w:sz w:val="18"/>
        </w:rPr>
        <w:t>• Pratique fonctionnelle de Clarity PPM sur les ressources, affectations, projets, feuilles de temps, calendriers, charges et données budgétaires ; extractions, contrôles, corrections et accompagnement des utilisateurs.</w:t>
      </w:r>
    </w:p>
    <w:p w14:paraId="415E08C3" w14:textId="77777777" w:rsidR="00DE67AE" w:rsidRDefault="00000000">
      <w:pPr>
        <w:keepLines/>
        <w:spacing w:line="205" w:lineRule="auto"/>
        <w:ind w:left="510" w:hanging="255"/>
        <w:jc w:val="left"/>
      </w:pPr>
      <w:r>
        <w:rPr>
          <w:color w:val="666666"/>
          <w:sz w:val="18"/>
        </w:rPr>
        <w:t>• À la CNAM : pilotage d’un portefeuille de 220 M€ et 2 000 projets, avec suivi du consommé, du RAF, du réestimé, du prévisionnel et du capacity planning.</w:t>
      </w:r>
    </w:p>
    <w:p w14:paraId="4F830146" w14:textId="77777777" w:rsidR="00DE67AE" w:rsidRDefault="00000000">
      <w:pPr>
        <w:keepLines/>
        <w:spacing w:line="205" w:lineRule="auto"/>
        <w:ind w:left="510" w:hanging="255"/>
        <w:jc w:val="left"/>
      </w:pPr>
      <w:r>
        <w:rPr>
          <w:color w:val="666666"/>
          <w:sz w:val="18"/>
        </w:rPr>
        <w:t>• Automatisation du reporting et des KPI, préparation des tableaux de bord, animation des comités et accompagnement méthodologique des équipes MOA et MOE.</w:t>
      </w:r>
    </w:p>
    <w:p w14:paraId="6FD4AB80" w14:textId="77777777" w:rsidR="00DE67AE" w:rsidRDefault="00000000">
      <w:pPr>
        <w:keepLines/>
        <w:spacing w:before="30" w:after="65" w:line="205" w:lineRule="auto"/>
        <w:jc w:val="left"/>
        <w:rPr>
          <w:rFonts w:cs="Arial"/>
          <w:i/>
          <w:iCs/>
          <w:color w:val="666666"/>
          <w:sz w:val="18"/>
          <w:szCs w:val="18"/>
        </w:rPr>
      </w:pPr>
      <w:r>
        <w:rPr>
          <w:b/>
          <w:i/>
          <w:color w:val="4B0A78"/>
          <w:sz w:val="18"/>
        </w:rPr>
        <w:t xml:space="preserve">Impact : </w:t>
      </w:r>
      <w:r>
        <w:rPr>
          <w:i/>
          <w:color w:val="666666"/>
          <w:sz w:val="18"/>
        </w:rPr>
        <w:t>Pilotage d’un portefeuille allant jusqu’à 220 M€ et 2 000 projets, avec consolidation budgétaire et capacitaire.</w:t>
      </w:r>
    </w:p>
    <w:p w14:paraId="4CC43BDE" w14:textId="77777777" w:rsidR="00DE67AE" w:rsidRDefault="00DE67AE">
      <w:pPr>
        <w:keepLines/>
        <w:spacing w:before="30" w:after="65" w:line="205" w:lineRule="auto"/>
        <w:jc w:val="left"/>
        <w:rPr>
          <w:rFonts w:cs="Arial"/>
          <w:i/>
          <w:iCs/>
          <w:color w:val="666666"/>
          <w:sz w:val="18"/>
          <w:szCs w:val="18"/>
        </w:rPr>
      </w:pPr>
    </w:p>
    <w:p w14:paraId="1F39A2EB" w14:textId="77777777" w:rsidR="00DE67AE" w:rsidRDefault="00DE67AE">
      <w:pPr>
        <w:keepLines/>
        <w:spacing w:before="30" w:after="65" w:line="205" w:lineRule="auto"/>
        <w:jc w:val="left"/>
      </w:pPr>
    </w:p>
    <w:p w14:paraId="012BE119" w14:textId="77777777" w:rsidR="00DE67AE" w:rsidRDefault="00000000">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58752" behindDoc="0" locked="0" layoutInCell="1" allowOverlap="1" wp14:anchorId="0E45B618" wp14:editId="236775F6">
                <wp:simplePos x="0" y="0"/>
                <wp:positionH relativeFrom="margin">
                  <wp:posOffset>31750</wp:posOffset>
                </wp:positionH>
                <wp:positionV relativeFrom="paragraph">
                  <wp:posOffset>8255</wp:posOffset>
                </wp:positionV>
                <wp:extent cx="6165850" cy="233680"/>
                <wp:effectExtent l="0" t="0" r="25400" b="13970"/>
                <wp:wrapNone/>
                <wp:docPr id="501" name="Bloc titre 501" descr="Titre de section : COMPETENCES FONCTIONNELLES &amp; TECHNIQUES"/>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5" name="Groupe 53"/>
                        <wpg:cNvGrpSpPr/>
                        <wpg:grpSpPr>
                          <a:xfrm>
                            <a:off x="0" y="7315"/>
                            <a:ext cx="6165850" cy="217845"/>
                            <a:chOff x="1" y="80592"/>
                            <a:chExt cx="6166002" cy="218486"/>
                          </a:xfrm>
                        </wpg:grpSpPr>
                        <wps:wsp>
                          <wps:cNvPr id="6"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A23C52" w14:textId="77777777" w:rsidR="00DE67AE" w:rsidRDefault="00DE67AE">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8"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0DFAA71A" w14:textId="77777777" w:rsidR="00DE67AE" w:rsidRDefault="00000000">
                              <w:pPr>
                                <w:rPr>
                                  <w:b/>
                                  <w:bCs/>
                                  <w:color w:val="FFFFFF" w:themeColor="background1"/>
                                </w:rPr>
                              </w:pPr>
                              <w:r>
                                <w:rPr>
                                  <w:b/>
                                  <w:bCs/>
                                  <w:color w:val="FFFFFF" w:themeColor="background1"/>
                                </w:rPr>
                                <w:t>COMPETENCES FONCTIONNELLES &amp; TECHNIQUES</w:t>
                              </w:r>
                            </w:p>
                          </w:txbxContent>
                        </wps:txbx>
                        <wps:bodyPr rot="0" vert="horz" wrap="square" lIns="91440" tIns="45720" rIns="91440" bIns="45720" anchor="t" anchorCtr="0">
                          <a:noAutofit/>
                        </wps:bodyPr>
                      </wps:wsp>
                    </wpg:wgp>
                  </a:graphicData>
                </a:graphic>
              </wp:anchor>
            </w:drawing>
          </mc:Choice>
          <mc:Fallback>
            <w:pict>
              <v:group w14:anchorId="0E45B618" id="Bloc titre 501" o:spid="_x0000_s1037" alt="Titre de section : COMPETENCES FONCTIONNELLES &amp; TECHNIQUES" style="position:absolute;margin-left:2.5pt;margin-top:.65pt;width:485.5pt;height:18.4pt;z-index:251658752;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">
                <v:group id="Groupe 53" o:spid="_x0000_s103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Rectangle : avec coin rogné 54" o:spid="_x0000_s103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26A23C52" w14:textId="77777777">
                          <w:pPr>
                            <w:jc w:val="left"/>
                            <w:rPr>
                              <w:b/>
                              <w:bCs/>
                              <w:sz w:val="18"/>
                              <w:szCs w:val="18"/>
                            </w:rPr>
                          </w:pPr>
                        </w:p>
                      </w:txbxContent>
                    </v:textbox>
                  </v:shape>
                  <v:line id="Connecteur droit 55" o:spid="_x0000_s104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" strokecolor="#4b0a78" strokeweight="2.25pt"/>
                </v:group>
                <v:shape id="Zone de texte 2" o:spid="_x0000_s104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0DFAA71A" w14:textId="77777777">
                        <w:pPr>
                          <w:rPr>
                            <w:b/>
                            <w:bCs/>
                            <w:color w:val="FFFFFF" w:themeColor="background1"/>
                          </w:rPr>
                        </w:pPr>
                        <w:r>
                          <w:rPr>
                            <w:b/>
                            <w:bCs/>
                            <w:color w:val="FFFFFF" w:themeColor="background1"/>
                          </w:rPr>
                          <w:t>COMPETENCES FONCTIONNELLES &amp; TECHNIQUES</w:t>
                        </w:r>
                      </w:p>
                    </w:txbxContent>
                  </v:textbox>
                </v:shape>
                <w10:wrap anchorx="margin"/>
              </v:group>
            </w:pict>
          </mc:Fallback>
        </mc:AlternateContent>
      </w:r>
    </w:p>
    <w:p w14:paraId="0B6739C0" w14:textId="77777777" w:rsidR="00DE67AE" w:rsidRDefault="00000000">
      <w:pPr>
        <w:keepLines/>
        <w:spacing w:after="45" w:line="215" w:lineRule="auto"/>
        <w:jc w:val="left"/>
      </w:pPr>
      <w:r>
        <w:rPr>
          <w:b/>
          <w:color w:val="7030A0"/>
          <w:sz w:val="18"/>
        </w:rPr>
        <w:t>Plan de charge &amp; PPM</w:t>
      </w:r>
      <w:r>
        <w:rPr>
          <w:b/>
          <w:color w:val="3F3F3F"/>
          <w:sz w:val="18"/>
        </w:rPr>
        <w:t xml:space="preserve"> : </w:t>
      </w:r>
      <w:r>
        <w:rPr>
          <w:color w:val="666666"/>
          <w:sz w:val="18"/>
        </w:rPr>
        <w:t>plan de charge DSI annuel, consolidation multi-directions, capacity planning, allocation des ressources, identification des surcharges, sous-charges et ressources critiques, préparation de scénarios et arbitrages capacitaires.</w:t>
      </w:r>
    </w:p>
    <w:p w14:paraId="121F4109" w14:textId="77777777" w:rsidR="00DE67AE" w:rsidRDefault="00000000">
      <w:pPr>
        <w:keepLines/>
        <w:spacing w:after="45" w:line="215" w:lineRule="auto"/>
        <w:jc w:val="left"/>
      </w:pPr>
      <w:r>
        <w:rPr>
          <w:b/>
          <w:color w:val="7030A0"/>
          <w:sz w:val="18"/>
        </w:rPr>
        <w:t>Clarity PPM &amp; Open Workbench</w:t>
      </w:r>
      <w:r>
        <w:rPr>
          <w:b/>
          <w:color w:val="3F3F3F"/>
          <w:sz w:val="18"/>
        </w:rPr>
        <w:t xml:space="preserve"> : </w:t>
      </w:r>
      <w:r>
        <w:rPr>
          <w:color w:val="666666"/>
          <w:sz w:val="18"/>
        </w:rPr>
        <w:t>pratique fonctionnelle satisfaisante de Clarity PPM sur les ressources, affectations, projets, timesheets, calendriers, charges et données budgétaires ; Open Workbench de niveau débutant.</w:t>
      </w:r>
    </w:p>
    <w:p w14:paraId="540EC3C8" w14:textId="77777777" w:rsidR="00DE67AE" w:rsidRDefault="00000000">
      <w:pPr>
        <w:keepLines/>
        <w:spacing w:after="45" w:line="215" w:lineRule="auto"/>
        <w:jc w:val="left"/>
      </w:pPr>
      <w:r>
        <w:rPr>
          <w:b/>
          <w:color w:val="7030A0"/>
          <w:sz w:val="18"/>
        </w:rPr>
        <w:t>Pilotage budgétaire</w:t>
      </w:r>
      <w:r>
        <w:rPr>
          <w:b/>
          <w:color w:val="3F3F3F"/>
          <w:sz w:val="18"/>
        </w:rPr>
        <w:t xml:space="preserve"> : </w:t>
      </w:r>
      <w:r>
        <w:rPr>
          <w:color w:val="666666"/>
          <w:sz w:val="18"/>
        </w:rPr>
        <w:t>consommé, RAF, réestimé, prévisionnel, atterrissage, arrêtés mensuels, contrôle des imputations, maquettes budgétaires et supports de pilotage de type Cockpit.</w:t>
      </w:r>
    </w:p>
    <w:p w14:paraId="5579B91E" w14:textId="77777777" w:rsidR="00DE67AE" w:rsidRDefault="00000000">
      <w:pPr>
        <w:keepLines/>
        <w:spacing w:after="45" w:line="215" w:lineRule="auto"/>
        <w:jc w:val="left"/>
      </w:pPr>
      <w:r>
        <w:rPr>
          <w:b/>
          <w:color w:val="7030A0"/>
          <w:sz w:val="18"/>
        </w:rPr>
        <w:t>Excel, VBA &amp; Access</w:t>
      </w:r>
      <w:r>
        <w:rPr>
          <w:b/>
          <w:color w:val="3F3F3F"/>
          <w:sz w:val="18"/>
        </w:rPr>
        <w:t xml:space="preserve"> : </w:t>
      </w:r>
      <w:r>
        <w:rPr>
          <w:color w:val="666666"/>
          <w:sz w:val="18"/>
        </w:rPr>
        <w:t>Excel avancé, TCD, fonctions complexes, traitements volumineux, contrôles de cohérence et automatisation des reportings ; VBA/macros avancé ; Access avancé à rafraîchir.</w:t>
      </w:r>
    </w:p>
    <w:p w14:paraId="39BF93CF" w14:textId="77777777" w:rsidR="00DE67AE" w:rsidRDefault="00000000">
      <w:pPr>
        <w:keepLines/>
        <w:spacing w:after="45" w:line="215" w:lineRule="auto"/>
        <w:jc w:val="left"/>
      </w:pPr>
      <w:r>
        <w:rPr>
          <w:b/>
          <w:color w:val="7030A0"/>
          <w:sz w:val="18"/>
        </w:rPr>
        <w:t>Contrôle de gestion &amp; ABC</w:t>
      </w:r>
      <w:r>
        <w:rPr>
          <w:b/>
          <w:color w:val="3F3F3F"/>
          <w:sz w:val="18"/>
        </w:rPr>
        <w:t xml:space="preserve"> : </w:t>
      </w:r>
      <w:r>
        <w:rPr>
          <w:color w:val="666666"/>
          <w:sz w:val="18"/>
        </w:rPr>
        <w:t>ventilation des charges et coûts par activité ; correspondances entre ressources, activités, services, projets et axes analytiques ; connaissances de la méthode ABC à rafraîchir.</w:t>
      </w:r>
    </w:p>
    <w:p w14:paraId="059632DC" w14:textId="77777777" w:rsidR="00DE67AE" w:rsidRDefault="00000000">
      <w:pPr>
        <w:keepLines/>
        <w:spacing w:after="45" w:line="215" w:lineRule="auto"/>
        <w:jc w:val="left"/>
      </w:pPr>
      <w:r>
        <w:rPr>
          <w:b/>
          <w:color w:val="7030A0"/>
          <w:sz w:val="18"/>
        </w:rPr>
        <w:t>Gouvernance de portefeuille</w:t>
      </w:r>
      <w:r>
        <w:rPr>
          <w:b/>
          <w:color w:val="3F3F3F"/>
          <w:sz w:val="18"/>
        </w:rPr>
        <w:t xml:space="preserve"> : </w:t>
      </w:r>
      <w:r>
        <w:rPr>
          <w:color w:val="666666"/>
          <w:sz w:val="18"/>
        </w:rPr>
        <w:t>COMEX, CODIR, COPIL, COPROJ, COSTREAM, revues de portefeuille, comités Roadmap et capacitaires, KPI/OKR, risques, dépendances et préparation des arbitrages.</w:t>
      </w:r>
    </w:p>
    <w:p w14:paraId="6E29E069" w14:textId="77777777" w:rsidR="00DE67AE" w:rsidRDefault="00000000">
      <w:pPr>
        <w:keepLines/>
        <w:spacing w:after="45" w:line="215" w:lineRule="auto"/>
        <w:jc w:val="left"/>
      </w:pPr>
      <w:r>
        <w:rPr>
          <w:b/>
          <w:color w:val="7030A0"/>
          <w:sz w:val="18"/>
        </w:rPr>
        <w:t>Outils</w:t>
      </w:r>
      <w:r>
        <w:rPr>
          <w:b/>
          <w:color w:val="3F3F3F"/>
          <w:sz w:val="18"/>
        </w:rPr>
        <w:t xml:space="preserve"> : </w:t>
      </w:r>
      <w:r>
        <w:rPr>
          <w:color w:val="666666"/>
          <w:sz w:val="18"/>
        </w:rPr>
        <w:t>CA Clarity PPM, Open Workbench, Sciforma, NQI Orchestra, Artemis, MS Project, Jira, SharePoint, Power BI, Excel, Access, PowerPoint et Office 365.</w:t>
      </w:r>
    </w:p>
    <w:p w14:paraId="579308B7" w14:textId="77777777" w:rsidR="00DE67AE" w:rsidRDefault="00000000">
      <w:pPr>
        <w:keepLines/>
        <w:spacing w:after="45" w:line="215" w:lineRule="auto"/>
        <w:jc w:val="left"/>
        <w:rPr>
          <w:bCs/>
        </w:rPr>
      </w:pPr>
      <w:r>
        <w:rPr>
          <w:b/>
          <w:color w:val="7030A0"/>
          <w:sz w:val="18"/>
        </w:rPr>
        <w:t>Méthodes</w:t>
      </w:r>
      <w:r>
        <w:rPr>
          <w:b/>
          <w:color w:val="3F3F3F"/>
          <w:sz w:val="18"/>
        </w:rPr>
        <w:t xml:space="preserve"> : </w:t>
      </w:r>
      <w:r>
        <w:rPr>
          <w:color w:val="666666"/>
          <w:sz w:val="18"/>
        </w:rPr>
        <w:t>PMP / PMI-PMBOK, ITIL, CMMI, Cycle en V, Scrum, Kanban, Lean Portfolio Management et RACI.</w:t>
      </w:r>
    </w:p>
    <w:p w14:paraId="3EC235F6" w14:textId="77777777" w:rsidR="00DE67AE" w:rsidRDefault="00000000">
      <w:pPr>
        <w:keepLines/>
        <w:spacing w:after="45" w:line="215" w:lineRule="auto"/>
        <w:jc w:val="left"/>
      </w:pPr>
      <w:r>
        <w:rPr>
          <w:b/>
          <w:color w:val="7030A0"/>
          <w:sz w:val="18"/>
        </w:rPr>
        <w:t>Secteurs &amp; langues</w:t>
      </w:r>
      <w:r>
        <w:rPr>
          <w:b/>
          <w:color w:val="3F3F3F"/>
          <w:sz w:val="18"/>
        </w:rPr>
        <w:t xml:space="preserve"> : </w:t>
      </w:r>
      <w:r>
        <w:rPr>
          <w:color w:val="666666"/>
          <w:sz w:val="18"/>
        </w:rPr>
        <w:t>banque, assurance, épargne-retraite, protection sociale, santé, secteur public et aéroportuaire ; français langue maternelle et anglais avancé.</w:t>
      </w:r>
    </w:p>
    <w:p w14:paraId="3B9D0445" w14:textId="77777777" w:rsidR="00DE67AE" w:rsidRDefault="00DE67AE">
      <w:pPr>
        <w:spacing w:after="20" w:line="180" w:lineRule="auto"/>
        <w:jc w:val="left"/>
      </w:pPr>
    </w:p>
    <w:p w14:paraId="11B9A61C" w14:textId="77777777" w:rsidR="00DE67AE" w:rsidRDefault="00000000">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59776" behindDoc="0" locked="0" layoutInCell="1" allowOverlap="1" wp14:anchorId="53251D88" wp14:editId="51EAC8F7">
                <wp:simplePos x="0" y="0"/>
                <wp:positionH relativeFrom="margin">
                  <wp:posOffset>31750</wp:posOffset>
                </wp:positionH>
                <wp:positionV relativeFrom="paragraph">
                  <wp:posOffset>8255</wp:posOffset>
                </wp:positionV>
                <wp:extent cx="6165850" cy="233680"/>
                <wp:effectExtent l="0" t="0" r="25400" b="13970"/>
                <wp:wrapNone/>
                <wp:docPr id="601" name="Bloc titre 601" descr="Titre de section : FORMATIONS &amp; CERTIFICATIONS"/>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9" name="Groupe 53"/>
                        <wpg:cNvGrpSpPr/>
                        <wpg:grpSpPr>
                          <a:xfrm>
                            <a:off x="0" y="7315"/>
                            <a:ext cx="6165850" cy="217845"/>
                            <a:chOff x="1" y="80592"/>
                            <a:chExt cx="6166002" cy="218486"/>
                          </a:xfrm>
                        </wpg:grpSpPr>
                        <wps:wsp>
                          <wps:cNvPr id="10"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51FEB5" w14:textId="77777777" w:rsidR="00DE67AE" w:rsidRDefault="00DE67AE">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13"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06D41D76" w14:textId="77777777" w:rsidR="00DE67AE" w:rsidRDefault="00000000">
                              <w:pPr>
                                <w:rPr>
                                  <w:b/>
                                  <w:bCs/>
                                  <w:color w:val="FFFFFF" w:themeColor="background1"/>
                                </w:rPr>
                              </w:pPr>
                              <w:r>
                                <w:rPr>
                                  <w:b/>
                                  <w:bCs/>
                                  <w:color w:val="FFFFFF" w:themeColor="background1"/>
                                </w:rPr>
                                <w:t>FORMATIONS &amp; CERTIFICATIONS</w:t>
                              </w:r>
                            </w:p>
                          </w:txbxContent>
                        </wps:txbx>
                        <wps:bodyPr rot="0" vert="horz" wrap="square" lIns="91440" tIns="45720" rIns="91440" bIns="45720" anchor="t" anchorCtr="0">
                          <a:noAutofit/>
                        </wps:bodyPr>
                      </wps:wsp>
                    </wpg:wgp>
                  </a:graphicData>
                </a:graphic>
              </wp:anchor>
            </w:drawing>
          </mc:Choice>
          <mc:Fallback>
            <w:pict>
              <v:group w14:anchorId="53251D88" id="Bloc titre 601" o:spid="_x0000_s1042" alt="Titre de section : FORMATIONS &amp; CERTIFICATIONS" style="position:absolute;margin-left:2.5pt;margin-top:.65pt;width:485.5pt;height:18.4pt;z-index:251659776;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">
                <v:group id="Groupe 53" o:spid="_x0000_s1043"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Rectangle : avec coin rogné 54" o:spid="_x0000_s104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0A51FEB5" w14:textId="77777777">
                          <w:pPr>
                            <w:jc w:val="left"/>
                            <w:rPr>
                              <w:b/>
                              <w:bCs/>
                              <w:sz w:val="18"/>
                              <w:szCs w:val="18"/>
                            </w:rPr>
                          </w:pPr>
                        </w:p>
                      </w:txbxContent>
                    </v:textbox>
                  </v:shape>
                  <v:line id="Connecteur droit 55" o:spid="_x0000_s1045"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" strokecolor="#4b0a78" strokeweight="2.25pt"/>
                </v:group>
                <v:shape id="Zone de texte 2" o:spid="_x0000_s104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06D41D76" w14:textId="77777777">
                        <w:pPr>
                          <w:rPr>
                            <w:b/>
                            <w:bCs/>
                            <w:color w:val="FFFFFF" w:themeColor="background1"/>
                          </w:rPr>
                        </w:pPr>
                        <w:r>
                          <w:rPr>
                            <w:b/>
                            <w:bCs/>
                            <w:color w:val="FFFFFF" w:themeColor="background1"/>
                          </w:rPr>
                          <w:t>FORMATIONS &amp; CERTIFICATIONS</w:t>
                        </w:r>
                      </w:p>
                    </w:txbxContent>
                  </v:textbox>
                </v:shape>
                <w10:wrap anchorx="margin"/>
              </v:group>
            </w:pict>
          </mc:Fallback>
        </mc:AlternateContent>
      </w:r>
    </w:p>
    <w:p w14:paraId="44D4ED48" w14:textId="77777777" w:rsidR="00DE67AE" w:rsidRDefault="00000000">
      <w:pPr>
        <w:keepLines/>
        <w:spacing w:before="20" w:after="35" w:line="215" w:lineRule="auto"/>
        <w:jc w:val="left"/>
      </w:pPr>
      <w:r>
        <w:rPr>
          <w:b/>
          <w:color w:val="4B0A78"/>
          <w:sz w:val="18"/>
        </w:rPr>
        <w:t xml:space="preserve">2016 : </w:t>
      </w:r>
      <w:r>
        <w:rPr>
          <w:b/>
          <w:color w:val="3F3F3F"/>
          <w:sz w:val="18"/>
        </w:rPr>
        <w:t>Global Executive MBA</w:t>
      </w:r>
      <w:r>
        <w:rPr>
          <w:color w:val="666666"/>
          <w:sz w:val="18"/>
        </w:rPr>
        <w:t xml:space="preserve"> – Sorbonne Business School | 2010 : Executive Master Finance – ESCP Business School</w:t>
      </w:r>
    </w:p>
    <w:p w14:paraId="379FB760" w14:textId="77777777" w:rsidR="00DE67AE" w:rsidRDefault="00000000">
      <w:pPr>
        <w:keepLines/>
        <w:spacing w:before="20" w:after="35" w:line="215" w:lineRule="auto"/>
        <w:jc w:val="left"/>
      </w:pPr>
      <w:r>
        <w:rPr>
          <w:b/>
          <w:color w:val="4B0A78"/>
          <w:sz w:val="18"/>
        </w:rPr>
        <w:t xml:space="preserve">2004 : </w:t>
      </w:r>
      <w:r>
        <w:rPr>
          <w:b/>
          <w:color w:val="3F3F3F"/>
          <w:sz w:val="18"/>
        </w:rPr>
        <w:t>Executive Master IT</w:t>
      </w:r>
      <w:r>
        <w:rPr>
          <w:color w:val="666666"/>
          <w:sz w:val="18"/>
        </w:rPr>
        <w:t xml:space="preserve"> – École Centrale Paris | 2002 : Master MIAGE – Université Paris Dauphine – PSL</w:t>
      </w:r>
    </w:p>
    <w:sectPr w:rsidR="00DE67AE">
      <w:headerReference w:type="even" r:id="rId11"/>
      <w:headerReference w:type="default" r:id="rId12"/>
      <w:footerReference w:type="even" r:id="rId13"/>
      <w:footerReference w:type="default" r:id="rId14"/>
      <w:headerReference w:type="first" r:id="rId15"/>
      <w:footerReference w:type="first" r:id="rId16"/>
      <w:pgSz w:w="11906" w:h="16838" w:code="9"/>
      <w:pgMar w:top="1440" w:right="1080" w:bottom="1440" w:left="1080" w:header="567" w:footer="69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61CEB" w14:textId="77777777" w:rsidR="00C16DCB" w:rsidRDefault="00C16DCB">
      <w:r>
        <w:separator/>
      </w:r>
    </w:p>
  </w:endnote>
  <w:endnote w:type="continuationSeparator" w:id="0">
    <w:p w14:paraId="3E84FDAC" w14:textId="77777777" w:rsidR="00C16DCB" w:rsidRDefault="00C16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ansation">
    <w:altName w:val="Arial"/>
    <w:charset w:val="00"/>
    <w:family w:val="swiss"/>
    <w:pitch w:val="default"/>
  </w:font>
  <w:font w:name="BerkeleyOldEFOP-Book">
    <w:altName w:val="Bell MT"/>
    <w:panose1 w:val="00000000000000000000"/>
    <w:charset w:val="00"/>
    <w:family w:val="modern"/>
    <w:notTrueType/>
    <w:pitch w:val="variable"/>
    <w:sig w:usb0="00000003"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440B" w14:textId="77777777" w:rsidR="00DE67AE" w:rsidRDefault="00000000">
    <w:pPr>
      <w:pBdr>
        <w:top w:val="single" w:sz="12" w:space="1" w:color="808080" w:themeColor="background1" w:themeShade="80"/>
      </w:pBdr>
      <w:jc w:val="center"/>
      <w:rPr>
        <w:b/>
        <w:bCs/>
        <w:color w:val="808080" w:themeColor="background1" w:themeShade="80"/>
        <w:sz w:val="16"/>
        <w:szCs w:val="16"/>
      </w:rPr>
    </w:pPr>
    <w:r>
      <w:rPr>
        <w:rFonts w:cs="Arial"/>
        <w:b/>
        <w:bCs/>
        <w:color w:val="4B0A78"/>
        <w:sz w:val="16"/>
        <w:szCs w:val="16"/>
      </w:rPr>
      <w:t>TILENCIA</w:t>
    </w:r>
  </w:p>
  <w:p w14:paraId="0CBF1EB5" w14:textId="77777777" w:rsidR="00DE67AE" w:rsidRDefault="00000000">
    <w:pPr>
      <w:jc w:val="center"/>
      <w:rPr>
        <w:b/>
        <w:bCs/>
        <w:color w:val="808080" w:themeColor="background1" w:themeShade="80"/>
        <w:sz w:val="16"/>
        <w:szCs w:val="16"/>
      </w:rPr>
    </w:pPr>
    <w:r>
      <w:rPr>
        <w:rFonts w:cs="Arial"/>
        <w:color w:val="808080"/>
        <w:sz w:val="16"/>
        <w:szCs w:val="16"/>
      </w:rPr>
      <w:t>www.tilencia.ai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298BA" w14:textId="77777777" w:rsidR="00DE67AE" w:rsidRDefault="00000000">
    <w:pPr>
      <w:pBdr>
        <w:top w:val="single" w:sz="12" w:space="1" w:color="808080" w:themeColor="background1" w:themeShade="80"/>
      </w:pBdr>
      <w:jc w:val="center"/>
      <w:rPr>
        <w:b/>
        <w:bCs/>
        <w:color w:val="808080" w:themeColor="background1" w:themeShade="80"/>
        <w:sz w:val="16"/>
        <w:szCs w:val="16"/>
      </w:rPr>
    </w:pPr>
    <w:r>
      <w:rPr>
        <w:rFonts w:cs="Arial"/>
        <w:b/>
        <w:bCs/>
        <w:color w:val="4B0A78"/>
        <w:sz w:val="16"/>
        <w:szCs w:val="16"/>
      </w:rPr>
      <w:t>@TILENCIA 2026</w:t>
    </w:r>
  </w:p>
  <w:p w14:paraId="15BA159A" w14:textId="77777777" w:rsidR="00DE67AE" w:rsidRDefault="00000000">
    <w:pPr>
      <w:jc w:val="center"/>
      <w:rPr>
        <w:b/>
        <w:bCs/>
        <w:color w:val="808080" w:themeColor="background1" w:themeShade="80"/>
        <w:sz w:val="16"/>
        <w:szCs w:val="16"/>
      </w:rPr>
    </w:pPr>
    <w:r>
      <w:rPr>
        <w:rFonts w:cs="Arial"/>
        <w:color w:val="808080"/>
        <w:sz w:val="16"/>
        <w:szCs w:val="16"/>
      </w:rPr>
      <w:t>www.tilencia.ai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A1EC5" w14:textId="77777777" w:rsidR="00DE67AE" w:rsidRDefault="00000000">
    <w:pPr>
      <w:pBdr>
        <w:top w:val="single" w:sz="12" w:space="1" w:color="808080" w:themeColor="background1" w:themeShade="80"/>
      </w:pBdr>
      <w:jc w:val="center"/>
      <w:rPr>
        <w:b/>
        <w:bCs/>
        <w:color w:val="808080" w:themeColor="background1" w:themeShade="80"/>
        <w:sz w:val="16"/>
        <w:szCs w:val="16"/>
      </w:rPr>
    </w:pPr>
    <w:r>
      <w:rPr>
        <w:rFonts w:cs="Arial"/>
        <w:b/>
        <w:bCs/>
        <w:color w:val="4B0A78"/>
        <w:sz w:val="16"/>
        <w:szCs w:val="16"/>
      </w:rPr>
      <w:t>TILENCIA</w:t>
    </w:r>
  </w:p>
  <w:p w14:paraId="28BB2D5B" w14:textId="77777777" w:rsidR="00DE67AE" w:rsidRDefault="00000000">
    <w:pPr>
      <w:jc w:val="center"/>
      <w:rPr>
        <w:b/>
        <w:bCs/>
        <w:color w:val="808080" w:themeColor="background1" w:themeShade="80"/>
        <w:sz w:val="16"/>
        <w:szCs w:val="16"/>
      </w:rPr>
    </w:pPr>
    <w:r>
      <w:rPr>
        <w:rFonts w:cs="Arial"/>
        <w:color w:val="808080"/>
        <w:sz w:val="16"/>
        <w:szCs w:val="16"/>
      </w:rPr>
      <w:t>www.tilencia.ai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EECED" w14:textId="77777777" w:rsidR="00C16DCB" w:rsidRDefault="00C16DCB">
      <w:r>
        <w:separator/>
      </w:r>
    </w:p>
  </w:footnote>
  <w:footnote w:type="continuationSeparator" w:id="0">
    <w:p w14:paraId="4F0449AF" w14:textId="77777777" w:rsidR="00C16DCB" w:rsidRDefault="00C16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07D11" w14:textId="77777777" w:rsidR="00DE67AE" w:rsidRDefault="00000000">
    <w:pPr>
      <w:pStyle w:val="En-tte"/>
      <w:spacing w:line="240" w:lineRule="auto"/>
      <w:ind w:left="-992"/>
      <w:rPr>
        <w:noProof/>
      </w:rPr>
    </w:pPr>
    <w:r>
      <w:rPr>
        <w:noProof/>
      </w:rPr>
      <w:drawing>
        <wp:anchor distT="0" distB="0" distL="114300" distR="114300" simplePos="0" relativeHeight="251658240" behindDoc="1" locked="0" layoutInCell="1" allowOverlap="1" wp14:anchorId="6216458B" wp14:editId="0B76C329">
          <wp:simplePos x="0" y="0"/>
          <wp:positionH relativeFrom="margin">
            <wp:posOffset>-258051</wp:posOffset>
          </wp:positionH>
          <wp:positionV relativeFrom="paragraph">
            <wp:posOffset>-188171</wp:posOffset>
          </wp:positionV>
          <wp:extent cx="1828800" cy="1251477"/>
          <wp:effectExtent l="0" t="0" r="8890" b="9525"/>
          <wp:wrapNone/>
          <wp:docPr id="1004153139" name="Logo Tilencia" descr="Logo Ti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ilencia" descr="Logo Tilenci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28800" cy="1251477"/>
                  </a:xfrm>
                  <a:prstGeom prst="rect">
                    <a:avLst/>
                  </a:prstGeom>
                  <a:noFill/>
                </pic:spPr>
              </pic:pic>
            </a:graphicData>
          </a:graphic>
          <wp14:sizeRelH relativeFrom="page">
            <wp14:pctWidth>0</wp14:pctWidth>
          </wp14:sizeRelH>
          <wp14:sizeRelV relativeFrom="page">
            <wp14:pctHeight>0</wp14:pctHeight>
          </wp14:sizeRelV>
        </wp:anchor>
      </w:drawing>
    </w:r>
  </w:p>
  <w:p w14:paraId="7F0AB071" w14:textId="77777777" w:rsidR="00DE67AE" w:rsidRDefault="00000000">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5168" behindDoc="0" locked="0" layoutInCell="0" allowOverlap="1" wp14:anchorId="6629B151" wp14:editId="68845DD2">
              <wp:simplePos x="0" y="0"/>
              <wp:positionH relativeFrom="column">
                <wp:posOffset>-640080</wp:posOffset>
              </wp:positionH>
              <wp:positionV relativeFrom="paragraph">
                <wp:posOffset>34289</wp:posOffset>
              </wp:positionV>
              <wp:extent cx="6753860" cy="0"/>
              <wp:effectExtent l="0" t="0" r="0" b="0"/>
              <wp:wrapNone/>
              <wp:docPr id="5" name="Line 13" descr="Élément graphique décoratif Tilencia"/>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581FD2E4" w14:textId="77777777" w:rsidR="00DE67AE" w:rsidRDefault="00DE67AE">
    <w:pPr>
      <w:tabs>
        <w:tab w:val="right" w:pos="9639"/>
      </w:tabs>
      <w:ind w:left="-993" w:right="-1"/>
      <w:jc w:val="left"/>
      <w:outlineLvl w:val="0"/>
      <w:rPr>
        <w:b/>
        <w:bCs/>
        <w:noProof/>
        <w:color w:val="A6A6A6" w:themeColor="background1" w:themeShade="A6"/>
        <w:sz w:val="18"/>
        <w:szCs w:val="18"/>
      </w:rPr>
    </w:pPr>
  </w:p>
  <w:p w14:paraId="57EA5EB3" w14:textId="77777777" w:rsidR="00DE67AE" w:rsidRDefault="00DE67AE">
    <w:pPr>
      <w:tabs>
        <w:tab w:val="right" w:pos="9639"/>
      </w:tabs>
      <w:ind w:left="-993" w:right="-1"/>
      <w:jc w:val="left"/>
      <w:outlineLvl w:val="0"/>
      <w:rPr>
        <w:b/>
        <w:bCs/>
        <w:noProof/>
        <w:color w:val="A6A6A6" w:themeColor="background1" w:themeShade="A6"/>
        <w:sz w:val="18"/>
        <w:szCs w:val="18"/>
      </w:rPr>
    </w:pPr>
  </w:p>
  <w:p w14:paraId="553FEC1E" w14:textId="77777777" w:rsidR="00DE67AE" w:rsidRDefault="00DE67AE">
    <w:pPr>
      <w:tabs>
        <w:tab w:val="right" w:pos="9639"/>
      </w:tabs>
      <w:ind w:left="-993" w:right="-1"/>
      <w:jc w:val="left"/>
      <w:outlineLvl w:val="0"/>
      <w:rPr>
        <w:b/>
        <w:bCs/>
        <w:noProof/>
        <w:color w:val="A6A6A6" w:themeColor="background1" w:themeShade="A6"/>
        <w:sz w:val="18"/>
        <w:szCs w:val="18"/>
      </w:rPr>
    </w:pPr>
  </w:p>
  <w:p w14:paraId="105214BE" w14:textId="77777777" w:rsidR="00DE67AE" w:rsidRDefault="00DE67AE">
    <w:pPr>
      <w:tabs>
        <w:tab w:val="right" w:pos="9639"/>
      </w:tabs>
      <w:ind w:left="-993" w:right="-1"/>
      <w:jc w:val="left"/>
      <w:outlineLvl w:val="0"/>
      <w:rPr>
        <w:b/>
        <w:bCs/>
        <w:noProof/>
        <w:color w:val="A6A6A6" w:themeColor="background1" w:themeShade="A6"/>
        <w:sz w:val="18"/>
        <w:szCs w:val="18"/>
      </w:rPr>
    </w:pPr>
  </w:p>
  <w:p w14:paraId="37F26855" w14:textId="77777777" w:rsidR="00DE67AE" w:rsidRDefault="00000000">
    <w:pPr>
      <w:tabs>
        <w:tab w:val="right" w:pos="9639"/>
      </w:tabs>
      <w:ind w:left="-993" w:right="-1"/>
      <w:jc w:val="right"/>
      <w:outlineLvl w:val="0"/>
      <w:rPr>
        <w:b/>
        <w:bCs/>
        <w:noProof/>
        <w:color w:val="4B0A78"/>
        <w:sz w:val="24"/>
        <w:szCs w:val="24"/>
      </w:rPr>
    </w:pPr>
    <w:r>
      <w:rPr>
        <w:b/>
        <w:bCs/>
        <w:noProof/>
        <w:color w:val="A6A6A6" w:themeColor="background1" w:themeShade="A6"/>
        <w:sz w:val="18"/>
        <w:szCs w:val="18"/>
      </w:rPr>
      <w:fldChar w:fldCharType="begin"/>
    </w:r>
    <w:r>
      <w:rPr>
        <w:b/>
        <w:bCs/>
        <w:noProof/>
        <w:color w:val="A6A6A6" w:themeColor="background1" w:themeShade="A6"/>
        <w:sz w:val="18"/>
        <w:szCs w:val="18"/>
      </w:rPr>
      <w:instrText xml:space="preserve"> PAGE   \* MERGEFORMAT </w:instrText>
    </w:r>
    <w:r>
      <w:rPr>
        <w:b/>
        <w:bCs/>
        <w:noProof/>
        <w:color w:val="A6A6A6" w:themeColor="background1" w:themeShade="A6"/>
        <w:sz w:val="18"/>
        <w:szCs w:val="18"/>
      </w:rPr>
      <w:fldChar w:fldCharType="separate"/>
    </w:r>
    <w:r>
      <w:rPr>
        <w:b/>
        <w:bCs/>
        <w:noProof/>
        <w:color w:val="A6A6A6" w:themeColor="background1" w:themeShade="A6"/>
        <w:sz w:val="18"/>
        <w:szCs w:val="18"/>
      </w:rPr>
      <w:t>1</w:t>
    </w:r>
    <w:r>
      <w:rPr>
        <w:b/>
        <w:bCs/>
        <w:noProof/>
        <w:color w:val="A6A6A6" w:themeColor="background1" w:themeShade="A6"/>
        <w:sz w:val="18"/>
        <w:szCs w:val="18"/>
      </w:rPr>
      <w:fldChar w:fldCharType="end"/>
    </w:r>
    <w:r>
      <w:rPr>
        <w:b/>
        <w:bCs/>
        <w:noProof/>
        <w:color w:val="A6A6A6" w:themeColor="background1" w:themeShade="A6"/>
        <w:sz w:val="18"/>
        <w:szCs w:val="18"/>
      </w:rPr>
      <w:t>/</w:t>
    </w:r>
    <w:r>
      <w:rPr>
        <w:b/>
        <w:bCs/>
        <w:noProof/>
        <w:color w:val="A6A6A6" w:themeColor="background1" w:themeShade="A6"/>
        <w:sz w:val="18"/>
        <w:szCs w:val="18"/>
      </w:rPr>
      <w:fldChar w:fldCharType="begin"/>
    </w:r>
    <w:r>
      <w:rPr>
        <w:b/>
        <w:bCs/>
        <w:noProof/>
        <w:color w:val="A6A6A6" w:themeColor="background1" w:themeShade="A6"/>
        <w:sz w:val="18"/>
        <w:szCs w:val="18"/>
      </w:rPr>
      <w:instrText xml:space="preserve"> NUMPAGES   \* MERGEFORMAT </w:instrText>
    </w:r>
    <w:r>
      <w:rPr>
        <w:b/>
        <w:bCs/>
        <w:noProof/>
        <w:color w:val="A6A6A6" w:themeColor="background1" w:themeShade="A6"/>
        <w:sz w:val="18"/>
        <w:szCs w:val="18"/>
      </w:rPr>
      <w:fldChar w:fldCharType="separate"/>
    </w:r>
    <w:r>
      <w:rPr>
        <w:b/>
        <w:bCs/>
        <w:noProof/>
        <w:color w:val="A6A6A6" w:themeColor="background1" w:themeShade="A6"/>
        <w:sz w:val="18"/>
        <w:szCs w:val="18"/>
      </w:rPr>
      <w:t>2</w:t>
    </w:r>
    <w:r>
      <w:rPr>
        <w:b/>
        <w:bCs/>
        <w:noProof/>
        <w:color w:val="A6A6A6" w:themeColor="background1" w:themeShade="A6"/>
        <w:sz w:val="18"/>
        <w:szCs w:val="18"/>
      </w:rPr>
      <w:fldChar w:fldCharType="end"/>
    </w:r>
    <w:r>
      <w:rPr>
        <w:b/>
        <w:bCs/>
        <w:noProof/>
        <w:color w:val="4B0A78"/>
        <w:sz w:val="24"/>
        <w:szCs w:val="24"/>
      </w:rPr>
      <w:tab/>
    </w:r>
  </w:p>
  <w:p w14:paraId="69995E44" w14:textId="77777777" w:rsidR="00DE67AE" w:rsidRDefault="00000000">
    <w:pPr>
      <w:tabs>
        <w:tab w:val="right" w:pos="9639"/>
      </w:tabs>
      <w:ind w:left="-993" w:right="-1"/>
      <w:jc w:val="right"/>
      <w:outlineLvl w:val="0"/>
      <w:rPr>
        <w:b/>
        <w:bCs/>
        <w:noProof/>
        <w:color w:val="4B0A78"/>
        <w:sz w:val="24"/>
        <w:szCs w:val="24"/>
      </w:rPr>
    </w:pPr>
    <w:r>
      <w:rPr>
        <w:b/>
        <w:bCs/>
        <w:noProof/>
        <w:color w:val="4B0A78"/>
        <w:sz w:val="24"/>
        <w:szCs w:val="24"/>
      </w:rPr>
      <w:t>ELA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F4800" w14:textId="77777777" w:rsidR="00DE67AE" w:rsidRDefault="00000000">
    <w:pPr>
      <w:pStyle w:val="En-tte"/>
      <w:spacing w:line="240" w:lineRule="auto"/>
      <w:ind w:left="-992"/>
      <w:rPr>
        <w:noProof/>
      </w:rPr>
    </w:pPr>
    <w:r>
      <w:rPr>
        <w:noProof/>
      </w:rPr>
      <w:drawing>
        <wp:anchor distT="0" distB="0" distL="114300" distR="114300" simplePos="0" relativeHeight="251659264" behindDoc="1" locked="0" layoutInCell="1" allowOverlap="1" wp14:anchorId="3910229F" wp14:editId="143113F7">
          <wp:simplePos x="0" y="0"/>
          <wp:positionH relativeFrom="margin">
            <wp:align>center</wp:align>
          </wp:positionH>
          <wp:positionV relativeFrom="paragraph">
            <wp:posOffset>-290830</wp:posOffset>
          </wp:positionV>
          <wp:extent cx="1802130" cy="1295826"/>
          <wp:effectExtent l="0" t="0" r="7620" b="0"/>
          <wp:wrapNone/>
          <wp:docPr id="1" name="Logo Tilencia" descr="Logo Ti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ilencia" descr="Logo Tilenci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2130" cy="1295826"/>
                  </a:xfrm>
                  <a:prstGeom prst="rect">
                    <a:avLst/>
                  </a:prstGeom>
                  <a:noFill/>
                </pic:spPr>
              </pic:pic>
            </a:graphicData>
          </a:graphic>
          <wp14:sizeRelH relativeFrom="page">
            <wp14:pctWidth>0</wp14:pctWidth>
          </wp14:sizeRelH>
          <wp14:sizeRelV relativeFrom="page">
            <wp14:pctHeight>0</wp14:pctHeight>
          </wp14:sizeRelV>
        </wp:anchor>
      </w:drawing>
    </w:r>
  </w:p>
  <w:p w14:paraId="5609F3FA" w14:textId="77777777" w:rsidR="00DE67AE" w:rsidRDefault="00000000">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6192" behindDoc="0" locked="0" layoutInCell="0" allowOverlap="1" wp14:anchorId="7DA193D9" wp14:editId="3AB1DF86">
              <wp:simplePos x="0" y="0"/>
              <wp:positionH relativeFrom="column">
                <wp:posOffset>-640080</wp:posOffset>
              </wp:positionH>
              <wp:positionV relativeFrom="paragraph">
                <wp:posOffset>34289</wp:posOffset>
              </wp:positionV>
              <wp:extent cx="6753860" cy="0"/>
              <wp:effectExtent l="0" t="0" r="0" b="0"/>
              <wp:wrapNone/>
              <wp:docPr id="2" name="Line 13" descr="Élément graphique décoratif Tilencia"/>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56E19EB4" w14:textId="77777777" w:rsidR="00DE67AE" w:rsidRDefault="00DE67AE">
    <w:pPr>
      <w:tabs>
        <w:tab w:val="right" w:pos="9639"/>
      </w:tabs>
      <w:ind w:left="-993" w:right="-1"/>
      <w:jc w:val="left"/>
      <w:outlineLvl w:val="0"/>
      <w:rPr>
        <w:b/>
        <w:bCs/>
        <w:noProof/>
        <w:color w:val="A6A6A6" w:themeColor="background1" w:themeShade="A6"/>
        <w:sz w:val="18"/>
        <w:szCs w:val="18"/>
      </w:rPr>
    </w:pPr>
  </w:p>
  <w:p w14:paraId="289233E9" w14:textId="77777777" w:rsidR="00DE67AE" w:rsidRDefault="00DE67AE">
    <w:pPr>
      <w:tabs>
        <w:tab w:val="right" w:pos="9639"/>
      </w:tabs>
      <w:ind w:left="-993" w:right="-1"/>
      <w:jc w:val="left"/>
      <w:outlineLvl w:val="0"/>
      <w:rPr>
        <w:b/>
        <w:bCs/>
        <w:noProof/>
        <w:color w:val="A6A6A6" w:themeColor="background1" w:themeShade="A6"/>
        <w:sz w:val="18"/>
        <w:szCs w:val="18"/>
      </w:rPr>
    </w:pPr>
  </w:p>
  <w:p w14:paraId="0BDE474B" w14:textId="77777777" w:rsidR="00DE67AE" w:rsidRDefault="00DE67AE">
    <w:pPr>
      <w:tabs>
        <w:tab w:val="right" w:pos="9639"/>
      </w:tabs>
      <w:ind w:left="-993" w:right="-1"/>
      <w:jc w:val="center"/>
      <w:outlineLvl w:val="0"/>
      <w:rPr>
        <w:b/>
        <w:bCs/>
        <w:noProof/>
        <w:color w:val="A6A6A6" w:themeColor="background1" w:themeShade="A6"/>
        <w:sz w:val="18"/>
        <w:szCs w:val="18"/>
      </w:rPr>
    </w:pPr>
  </w:p>
  <w:p w14:paraId="6961ACF5" w14:textId="77777777" w:rsidR="00DE67AE" w:rsidRDefault="00DE67AE">
    <w:pPr>
      <w:tabs>
        <w:tab w:val="right" w:pos="9639"/>
      </w:tabs>
      <w:ind w:left="-993" w:right="-1"/>
      <w:jc w:val="left"/>
      <w:outlineLvl w:val="0"/>
      <w:rPr>
        <w:b/>
        <w:bCs/>
        <w:noProof/>
        <w:color w:val="A6A6A6" w:themeColor="background1" w:themeShade="A6"/>
        <w:sz w:val="18"/>
        <w:szCs w:val="18"/>
      </w:rPr>
    </w:pPr>
  </w:p>
  <w:p w14:paraId="6335335B" w14:textId="77777777" w:rsidR="00DE67AE" w:rsidRDefault="00000000">
    <w:pPr>
      <w:tabs>
        <w:tab w:val="right" w:pos="9639"/>
      </w:tabs>
      <w:ind w:left="-993" w:right="-1"/>
      <w:jc w:val="right"/>
      <w:outlineLvl w:val="0"/>
      <w:rPr>
        <w:b/>
        <w:bCs/>
        <w:noProof/>
        <w:color w:val="4B0A78"/>
        <w:sz w:val="24"/>
        <w:szCs w:val="24"/>
      </w:rPr>
    </w:pPr>
    <w:r>
      <w:rPr>
        <w:b/>
        <w:bCs/>
        <w:noProof/>
        <w:color w:val="A6A6A6" w:themeColor="background1" w:themeShade="A6"/>
        <w:sz w:val="18"/>
        <w:szCs w:val="18"/>
      </w:rPr>
      <w:fldChar w:fldCharType="begin"/>
    </w:r>
    <w:r>
      <w:rPr>
        <w:b/>
        <w:bCs/>
        <w:noProof/>
        <w:color w:val="A6A6A6" w:themeColor="background1" w:themeShade="A6"/>
        <w:sz w:val="18"/>
        <w:szCs w:val="18"/>
      </w:rPr>
      <w:instrText xml:space="preserve"> PAGE   \* MERGEFORMAT </w:instrText>
    </w:r>
    <w:r>
      <w:rPr>
        <w:b/>
        <w:bCs/>
        <w:noProof/>
        <w:color w:val="A6A6A6" w:themeColor="background1" w:themeShade="A6"/>
        <w:sz w:val="18"/>
        <w:szCs w:val="18"/>
      </w:rPr>
      <w:fldChar w:fldCharType="separate"/>
    </w:r>
    <w:r>
      <w:rPr>
        <w:b/>
        <w:bCs/>
        <w:noProof/>
        <w:color w:val="A6A6A6" w:themeColor="background1" w:themeShade="A6"/>
        <w:sz w:val="18"/>
        <w:szCs w:val="18"/>
      </w:rPr>
      <w:t>1</w:t>
    </w:r>
    <w:r>
      <w:rPr>
        <w:b/>
        <w:bCs/>
        <w:noProof/>
        <w:color w:val="A6A6A6" w:themeColor="background1" w:themeShade="A6"/>
        <w:sz w:val="18"/>
        <w:szCs w:val="18"/>
      </w:rPr>
      <w:fldChar w:fldCharType="end"/>
    </w:r>
    <w:r>
      <w:rPr>
        <w:b/>
        <w:bCs/>
        <w:noProof/>
        <w:color w:val="A6A6A6" w:themeColor="background1" w:themeShade="A6"/>
        <w:sz w:val="18"/>
        <w:szCs w:val="18"/>
      </w:rPr>
      <w:t>/</w:t>
    </w:r>
    <w:r>
      <w:rPr>
        <w:b/>
        <w:bCs/>
        <w:noProof/>
        <w:color w:val="A6A6A6" w:themeColor="background1" w:themeShade="A6"/>
        <w:sz w:val="18"/>
        <w:szCs w:val="18"/>
      </w:rPr>
      <w:fldChar w:fldCharType="begin"/>
    </w:r>
    <w:r>
      <w:rPr>
        <w:b/>
        <w:bCs/>
        <w:noProof/>
        <w:color w:val="A6A6A6" w:themeColor="background1" w:themeShade="A6"/>
        <w:sz w:val="18"/>
        <w:szCs w:val="18"/>
      </w:rPr>
      <w:instrText xml:space="preserve"> NUMPAGES   \* MERGEFORMAT </w:instrText>
    </w:r>
    <w:r>
      <w:rPr>
        <w:b/>
        <w:bCs/>
        <w:noProof/>
        <w:color w:val="A6A6A6" w:themeColor="background1" w:themeShade="A6"/>
        <w:sz w:val="18"/>
        <w:szCs w:val="18"/>
      </w:rPr>
      <w:fldChar w:fldCharType="separate"/>
    </w:r>
    <w:r>
      <w:rPr>
        <w:b/>
        <w:bCs/>
        <w:noProof/>
        <w:color w:val="A6A6A6" w:themeColor="background1" w:themeShade="A6"/>
        <w:sz w:val="18"/>
        <w:szCs w:val="18"/>
      </w:rPr>
      <w:t>2</w:t>
    </w:r>
    <w:r>
      <w:rPr>
        <w:b/>
        <w:bCs/>
        <w:noProof/>
        <w:color w:val="A6A6A6" w:themeColor="background1" w:themeShade="A6"/>
        <w:sz w:val="18"/>
        <w:szCs w:val="18"/>
      </w:rPr>
      <w:fldChar w:fldCharType="end"/>
    </w:r>
    <w:r>
      <w:rPr>
        <w:b/>
        <w:bCs/>
        <w:noProof/>
        <w:color w:val="4B0A78"/>
        <w:sz w:val="24"/>
        <w:szCs w:val="24"/>
      </w:rPr>
      <w:tab/>
    </w:r>
  </w:p>
  <w:p w14:paraId="0B0009AC" w14:textId="77777777" w:rsidR="00DE67AE" w:rsidRDefault="00000000">
    <w:pPr>
      <w:tabs>
        <w:tab w:val="right" w:pos="9639"/>
      </w:tabs>
      <w:ind w:left="-993" w:right="-1"/>
      <w:jc w:val="right"/>
      <w:outlineLvl w:val="0"/>
      <w:rPr>
        <w:b/>
        <w:bCs/>
        <w:noProof/>
        <w:color w:val="4B0A78"/>
        <w:sz w:val="24"/>
        <w:szCs w:val="24"/>
      </w:rPr>
    </w:pPr>
    <w:r>
      <w:rPr>
        <w:b/>
        <w:bCs/>
        <w:noProof/>
        <w:color w:val="4B0A78"/>
        <w:sz w:val="24"/>
        <w:szCs w:val="24"/>
      </w:rPr>
      <w:t>ELA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E6681" w14:textId="77777777" w:rsidR="00DE67AE" w:rsidRDefault="00000000">
    <w:pPr>
      <w:pStyle w:val="En-tte"/>
      <w:spacing w:line="240" w:lineRule="auto"/>
      <w:ind w:left="-992"/>
      <w:rPr>
        <w:noProof/>
      </w:rPr>
    </w:pPr>
    <w:r>
      <w:rPr>
        <w:noProof/>
      </w:rPr>
      <w:drawing>
        <wp:anchor distT="0" distB="0" distL="114300" distR="114300" simplePos="0" relativeHeight="251660288" behindDoc="1" locked="0" layoutInCell="1" allowOverlap="1" wp14:anchorId="54D8DC8A" wp14:editId="1E917134">
          <wp:simplePos x="0" y="0"/>
          <wp:positionH relativeFrom="margin">
            <wp:posOffset>-258051</wp:posOffset>
          </wp:positionH>
          <wp:positionV relativeFrom="paragraph">
            <wp:posOffset>-188171</wp:posOffset>
          </wp:positionV>
          <wp:extent cx="1828800" cy="1251477"/>
          <wp:effectExtent l="0" t="0" r="8890" b="9525"/>
          <wp:wrapNone/>
          <wp:docPr id="3" name="Logo Tilencia" descr="Logo Ti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ilencia" descr="Logo Tilenci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28800" cy="1251477"/>
                  </a:xfrm>
                  <a:prstGeom prst="rect">
                    <a:avLst/>
                  </a:prstGeom>
                  <a:noFill/>
                </pic:spPr>
              </pic:pic>
            </a:graphicData>
          </a:graphic>
          <wp14:sizeRelH relativeFrom="page">
            <wp14:pctWidth>0</wp14:pctWidth>
          </wp14:sizeRelH>
          <wp14:sizeRelV relativeFrom="page">
            <wp14:pctHeight>0</wp14:pctHeight>
          </wp14:sizeRelV>
        </wp:anchor>
      </w:drawing>
    </w:r>
    <w:bookmarkStart w:id="0" w:name="_Hlk90578557"/>
    <w:bookmarkStart w:id="1" w:name="_Hlk90578433"/>
    <w:bookmarkEnd w:id="0"/>
    <w:bookmarkEnd w:id="1"/>
  </w:p>
  <w:p w14:paraId="25EF4C97" w14:textId="77777777" w:rsidR="00DE67AE" w:rsidRDefault="00000000">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7216" behindDoc="0" locked="0" layoutInCell="0" allowOverlap="1" wp14:anchorId="4CB08DEA" wp14:editId="2C41226D">
              <wp:simplePos x="0" y="0"/>
              <wp:positionH relativeFrom="column">
                <wp:posOffset>-640080</wp:posOffset>
              </wp:positionH>
              <wp:positionV relativeFrom="paragraph">
                <wp:posOffset>34289</wp:posOffset>
              </wp:positionV>
              <wp:extent cx="6753860" cy="0"/>
              <wp:effectExtent l="0" t="0" r="0" b="0"/>
              <wp:wrapNone/>
              <wp:docPr id="4" name="Line 13" descr="Élément graphique décoratif Tilencia"/>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6859FBA5" w14:textId="77777777" w:rsidR="00DE67AE" w:rsidRDefault="00DE67AE">
    <w:pPr>
      <w:tabs>
        <w:tab w:val="right" w:pos="9639"/>
      </w:tabs>
      <w:ind w:left="-993" w:right="-1"/>
      <w:jc w:val="left"/>
      <w:outlineLvl w:val="0"/>
      <w:rPr>
        <w:b/>
        <w:bCs/>
        <w:noProof/>
        <w:color w:val="A6A6A6" w:themeColor="background1" w:themeShade="A6"/>
        <w:sz w:val="18"/>
        <w:szCs w:val="18"/>
      </w:rPr>
    </w:pPr>
  </w:p>
  <w:p w14:paraId="5F17CB05" w14:textId="77777777" w:rsidR="00DE67AE" w:rsidRDefault="00DE67AE">
    <w:pPr>
      <w:tabs>
        <w:tab w:val="right" w:pos="9639"/>
      </w:tabs>
      <w:ind w:left="-993" w:right="-1"/>
      <w:jc w:val="left"/>
      <w:outlineLvl w:val="0"/>
      <w:rPr>
        <w:b/>
        <w:bCs/>
        <w:noProof/>
        <w:color w:val="A6A6A6" w:themeColor="background1" w:themeShade="A6"/>
        <w:sz w:val="18"/>
        <w:szCs w:val="18"/>
      </w:rPr>
    </w:pPr>
  </w:p>
  <w:p w14:paraId="2ED4761B" w14:textId="77777777" w:rsidR="00DE67AE" w:rsidRDefault="00DE67AE">
    <w:pPr>
      <w:tabs>
        <w:tab w:val="right" w:pos="9639"/>
      </w:tabs>
      <w:ind w:left="-993" w:right="-1"/>
      <w:jc w:val="left"/>
      <w:outlineLvl w:val="0"/>
      <w:rPr>
        <w:b/>
        <w:bCs/>
        <w:noProof/>
        <w:color w:val="A6A6A6" w:themeColor="background1" w:themeShade="A6"/>
        <w:sz w:val="18"/>
        <w:szCs w:val="18"/>
      </w:rPr>
    </w:pPr>
  </w:p>
  <w:p w14:paraId="27C3A3E1" w14:textId="77777777" w:rsidR="00DE67AE" w:rsidRDefault="00DE67AE">
    <w:pPr>
      <w:tabs>
        <w:tab w:val="right" w:pos="9639"/>
      </w:tabs>
      <w:ind w:left="-993" w:right="-1"/>
      <w:jc w:val="left"/>
      <w:outlineLvl w:val="0"/>
      <w:rPr>
        <w:b/>
        <w:bCs/>
        <w:noProof/>
        <w:color w:val="A6A6A6" w:themeColor="background1" w:themeShade="A6"/>
        <w:sz w:val="18"/>
        <w:szCs w:val="18"/>
      </w:rPr>
    </w:pPr>
  </w:p>
  <w:p w14:paraId="1772BFD0" w14:textId="77777777" w:rsidR="00DE67AE" w:rsidRDefault="00000000">
    <w:pPr>
      <w:tabs>
        <w:tab w:val="right" w:pos="9639"/>
      </w:tabs>
      <w:ind w:left="-993" w:right="-1"/>
      <w:jc w:val="right"/>
      <w:outlineLvl w:val="0"/>
      <w:rPr>
        <w:b/>
        <w:bCs/>
        <w:noProof/>
        <w:color w:val="4B0A78"/>
        <w:sz w:val="24"/>
        <w:szCs w:val="24"/>
      </w:rPr>
    </w:pPr>
    <w:r>
      <w:rPr>
        <w:b/>
        <w:bCs/>
        <w:noProof/>
        <w:color w:val="A6A6A6" w:themeColor="background1" w:themeShade="A6"/>
        <w:sz w:val="18"/>
        <w:szCs w:val="18"/>
      </w:rPr>
      <w:fldChar w:fldCharType="begin"/>
    </w:r>
    <w:r>
      <w:rPr>
        <w:b/>
        <w:bCs/>
        <w:noProof/>
        <w:color w:val="A6A6A6" w:themeColor="background1" w:themeShade="A6"/>
        <w:sz w:val="18"/>
        <w:szCs w:val="18"/>
      </w:rPr>
      <w:instrText xml:space="preserve"> PAGE   \* MERGEFORMAT </w:instrText>
    </w:r>
    <w:r>
      <w:rPr>
        <w:b/>
        <w:bCs/>
        <w:noProof/>
        <w:color w:val="A6A6A6" w:themeColor="background1" w:themeShade="A6"/>
        <w:sz w:val="18"/>
        <w:szCs w:val="18"/>
      </w:rPr>
      <w:fldChar w:fldCharType="separate"/>
    </w:r>
    <w:r>
      <w:rPr>
        <w:b/>
        <w:bCs/>
        <w:noProof/>
        <w:color w:val="A6A6A6" w:themeColor="background1" w:themeShade="A6"/>
        <w:sz w:val="18"/>
        <w:szCs w:val="18"/>
      </w:rPr>
      <w:t>1</w:t>
    </w:r>
    <w:r>
      <w:rPr>
        <w:b/>
        <w:bCs/>
        <w:noProof/>
        <w:color w:val="A6A6A6" w:themeColor="background1" w:themeShade="A6"/>
        <w:sz w:val="18"/>
        <w:szCs w:val="18"/>
      </w:rPr>
      <w:fldChar w:fldCharType="end"/>
    </w:r>
    <w:r>
      <w:rPr>
        <w:b/>
        <w:bCs/>
        <w:noProof/>
        <w:color w:val="A6A6A6" w:themeColor="background1" w:themeShade="A6"/>
        <w:sz w:val="18"/>
        <w:szCs w:val="18"/>
      </w:rPr>
      <w:t>/</w:t>
    </w:r>
    <w:r>
      <w:rPr>
        <w:b/>
        <w:bCs/>
        <w:noProof/>
        <w:color w:val="A6A6A6" w:themeColor="background1" w:themeShade="A6"/>
        <w:sz w:val="18"/>
        <w:szCs w:val="18"/>
      </w:rPr>
      <w:fldChar w:fldCharType="begin"/>
    </w:r>
    <w:r>
      <w:rPr>
        <w:b/>
        <w:bCs/>
        <w:noProof/>
        <w:color w:val="A6A6A6" w:themeColor="background1" w:themeShade="A6"/>
        <w:sz w:val="18"/>
        <w:szCs w:val="18"/>
      </w:rPr>
      <w:instrText xml:space="preserve"> NUMPAGES   \* MERGEFORMAT </w:instrText>
    </w:r>
    <w:r>
      <w:rPr>
        <w:b/>
        <w:bCs/>
        <w:noProof/>
        <w:color w:val="A6A6A6" w:themeColor="background1" w:themeShade="A6"/>
        <w:sz w:val="18"/>
        <w:szCs w:val="18"/>
      </w:rPr>
      <w:fldChar w:fldCharType="separate"/>
    </w:r>
    <w:r>
      <w:rPr>
        <w:b/>
        <w:bCs/>
        <w:noProof/>
        <w:color w:val="A6A6A6" w:themeColor="background1" w:themeShade="A6"/>
        <w:sz w:val="18"/>
        <w:szCs w:val="18"/>
      </w:rPr>
      <w:t>2</w:t>
    </w:r>
    <w:r>
      <w:rPr>
        <w:b/>
        <w:bCs/>
        <w:noProof/>
        <w:color w:val="A6A6A6" w:themeColor="background1" w:themeShade="A6"/>
        <w:sz w:val="18"/>
        <w:szCs w:val="18"/>
      </w:rPr>
      <w:fldChar w:fldCharType="end"/>
    </w:r>
    <w:r>
      <w:rPr>
        <w:b/>
        <w:bCs/>
        <w:noProof/>
        <w:color w:val="4B0A78"/>
        <w:sz w:val="24"/>
        <w:szCs w:val="24"/>
      </w:rPr>
      <w:tab/>
    </w:r>
  </w:p>
  <w:p w14:paraId="28355692" w14:textId="77777777" w:rsidR="00DE67AE" w:rsidRDefault="00000000">
    <w:pPr>
      <w:tabs>
        <w:tab w:val="right" w:pos="9639"/>
      </w:tabs>
      <w:ind w:left="-993" w:right="-1"/>
      <w:jc w:val="right"/>
      <w:outlineLvl w:val="0"/>
      <w:rPr>
        <w:b/>
        <w:bCs/>
        <w:noProof/>
        <w:color w:val="4B0A78"/>
        <w:sz w:val="24"/>
        <w:szCs w:val="24"/>
      </w:rPr>
    </w:pPr>
    <w:r>
      <w:rPr>
        <w:b/>
        <w:bCs/>
        <w:noProof/>
        <w:color w:val="4B0A78"/>
        <w:sz w:val="24"/>
        <w:szCs w:val="24"/>
      </w:rPr>
      <w:t>ELA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A4D0A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2"/>
    <w:lvl w:ilvl="0">
      <w:start w:val="1"/>
      <w:numFmt w:val="bullet"/>
      <w:lvlText w:val="§"/>
      <w:lvlJc w:val="left"/>
      <w:pPr>
        <w:tabs>
          <w:tab w:val="num" w:pos="360"/>
        </w:tabs>
      </w:pPr>
      <w:rPr>
        <w:rFonts w:ascii="Wingdings" w:hAnsi="Wingdings"/>
      </w:rPr>
    </w:lvl>
  </w:abstractNum>
  <w:abstractNum w:abstractNumId="2" w15:restartNumberingAfterBreak="0">
    <w:nsid w:val="00000003"/>
    <w:multiLevelType w:val="singleLevel"/>
    <w:tmpl w:val="00000003"/>
    <w:name w:val="WW8Num5"/>
    <w:lvl w:ilvl="0">
      <w:start w:val="21"/>
      <w:numFmt w:val="bullet"/>
      <w:lvlText w:val="-"/>
      <w:lvlJc w:val="left"/>
      <w:pPr>
        <w:tabs>
          <w:tab w:val="num" w:pos="720"/>
        </w:tabs>
        <w:ind w:left="720" w:hanging="360"/>
      </w:pPr>
      <w:rPr>
        <w:rFonts w:ascii="Century Gothic" w:hAnsi="Century Gothic" w:cs="Times New Roman"/>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Courier New"/>
      </w:rPr>
    </w:lvl>
  </w:abstractNum>
  <w:abstractNum w:abstractNumId="4" w15:restartNumberingAfterBreak="0">
    <w:nsid w:val="048B7971"/>
    <w:multiLevelType w:val="hybridMultilevel"/>
    <w:tmpl w:val="48C2BE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8D7964"/>
    <w:multiLevelType w:val="hybridMultilevel"/>
    <w:tmpl w:val="7548E1FE"/>
    <w:lvl w:ilvl="0" w:tplc="554CAA58">
      <w:start w:val="1"/>
      <w:numFmt w:val="bullet"/>
      <w:pStyle w:val="CVEnumration1"/>
      <w:lvlText w:val=""/>
      <w:lvlJc w:val="left"/>
      <w:pPr>
        <w:tabs>
          <w:tab w:val="num" w:pos="963"/>
        </w:tabs>
        <w:ind w:left="963" w:hanging="396"/>
      </w:pPr>
      <w:rPr>
        <w:rFonts w:ascii="Wingdings" w:hAnsi="Wingdings" w:hint="default"/>
        <w:sz w:val="22"/>
      </w:rPr>
    </w:lvl>
    <w:lvl w:ilvl="1" w:tplc="040C0003" w:tentative="1">
      <w:start w:val="1"/>
      <w:numFmt w:val="bullet"/>
      <w:lvlText w:val="o"/>
      <w:lvlJc w:val="left"/>
      <w:pPr>
        <w:tabs>
          <w:tab w:val="num" w:pos="2367"/>
        </w:tabs>
        <w:ind w:left="2367" w:hanging="360"/>
      </w:pPr>
      <w:rPr>
        <w:rFonts w:ascii="Courier New" w:hAnsi="Courier New" w:hint="default"/>
      </w:rPr>
    </w:lvl>
    <w:lvl w:ilvl="2" w:tplc="040C0005" w:tentative="1">
      <w:start w:val="1"/>
      <w:numFmt w:val="bullet"/>
      <w:lvlText w:val=""/>
      <w:lvlJc w:val="left"/>
      <w:pPr>
        <w:tabs>
          <w:tab w:val="num" w:pos="3087"/>
        </w:tabs>
        <w:ind w:left="3087" w:hanging="360"/>
      </w:pPr>
      <w:rPr>
        <w:rFonts w:ascii="Wingdings" w:hAnsi="Wingdings" w:hint="default"/>
      </w:rPr>
    </w:lvl>
    <w:lvl w:ilvl="3" w:tplc="040C0001" w:tentative="1">
      <w:start w:val="1"/>
      <w:numFmt w:val="bullet"/>
      <w:lvlText w:val=""/>
      <w:lvlJc w:val="left"/>
      <w:pPr>
        <w:tabs>
          <w:tab w:val="num" w:pos="3807"/>
        </w:tabs>
        <w:ind w:left="3807" w:hanging="360"/>
      </w:pPr>
      <w:rPr>
        <w:rFonts w:ascii="Symbol" w:hAnsi="Symbol" w:hint="default"/>
      </w:rPr>
    </w:lvl>
    <w:lvl w:ilvl="4" w:tplc="040C0003" w:tentative="1">
      <w:start w:val="1"/>
      <w:numFmt w:val="bullet"/>
      <w:lvlText w:val="o"/>
      <w:lvlJc w:val="left"/>
      <w:pPr>
        <w:tabs>
          <w:tab w:val="num" w:pos="4527"/>
        </w:tabs>
        <w:ind w:left="4527" w:hanging="360"/>
      </w:pPr>
      <w:rPr>
        <w:rFonts w:ascii="Courier New" w:hAnsi="Courier New" w:hint="default"/>
      </w:rPr>
    </w:lvl>
    <w:lvl w:ilvl="5" w:tplc="040C0005" w:tentative="1">
      <w:start w:val="1"/>
      <w:numFmt w:val="bullet"/>
      <w:lvlText w:val=""/>
      <w:lvlJc w:val="left"/>
      <w:pPr>
        <w:tabs>
          <w:tab w:val="num" w:pos="5247"/>
        </w:tabs>
        <w:ind w:left="5247" w:hanging="360"/>
      </w:pPr>
      <w:rPr>
        <w:rFonts w:ascii="Wingdings" w:hAnsi="Wingdings" w:hint="default"/>
      </w:rPr>
    </w:lvl>
    <w:lvl w:ilvl="6" w:tplc="040C0001" w:tentative="1">
      <w:start w:val="1"/>
      <w:numFmt w:val="bullet"/>
      <w:lvlText w:val=""/>
      <w:lvlJc w:val="left"/>
      <w:pPr>
        <w:tabs>
          <w:tab w:val="num" w:pos="5967"/>
        </w:tabs>
        <w:ind w:left="5967" w:hanging="360"/>
      </w:pPr>
      <w:rPr>
        <w:rFonts w:ascii="Symbol" w:hAnsi="Symbol" w:hint="default"/>
      </w:rPr>
    </w:lvl>
    <w:lvl w:ilvl="7" w:tplc="040C0003" w:tentative="1">
      <w:start w:val="1"/>
      <w:numFmt w:val="bullet"/>
      <w:lvlText w:val="o"/>
      <w:lvlJc w:val="left"/>
      <w:pPr>
        <w:tabs>
          <w:tab w:val="num" w:pos="6687"/>
        </w:tabs>
        <w:ind w:left="6687" w:hanging="360"/>
      </w:pPr>
      <w:rPr>
        <w:rFonts w:ascii="Courier New" w:hAnsi="Courier New" w:hint="default"/>
      </w:rPr>
    </w:lvl>
    <w:lvl w:ilvl="8" w:tplc="040C0005" w:tentative="1">
      <w:start w:val="1"/>
      <w:numFmt w:val="bullet"/>
      <w:lvlText w:val=""/>
      <w:lvlJc w:val="left"/>
      <w:pPr>
        <w:tabs>
          <w:tab w:val="num" w:pos="7407"/>
        </w:tabs>
        <w:ind w:left="7407" w:hanging="360"/>
      </w:pPr>
      <w:rPr>
        <w:rFonts w:ascii="Wingdings" w:hAnsi="Wingdings" w:hint="default"/>
      </w:rPr>
    </w:lvl>
  </w:abstractNum>
  <w:abstractNum w:abstractNumId="6" w15:restartNumberingAfterBreak="0">
    <w:nsid w:val="13DE725E"/>
    <w:multiLevelType w:val="hybridMultilevel"/>
    <w:tmpl w:val="040ECD8C"/>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7" w15:restartNumberingAfterBreak="0">
    <w:nsid w:val="23110B9E"/>
    <w:multiLevelType w:val="hybridMultilevel"/>
    <w:tmpl w:val="140EE42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46606C3"/>
    <w:multiLevelType w:val="singleLevel"/>
    <w:tmpl w:val="13ECA26E"/>
    <w:lvl w:ilvl="0">
      <w:start w:val="1"/>
      <w:numFmt w:val="bullet"/>
      <w:pStyle w:val="Aliste"/>
      <w:lvlText w:val="–"/>
      <w:lvlJc w:val="left"/>
      <w:pPr>
        <w:tabs>
          <w:tab w:val="num" w:pos="360"/>
        </w:tabs>
        <w:ind w:left="360" w:hanging="360"/>
      </w:pPr>
      <w:rPr>
        <w:rFonts w:ascii="Times New Roman" w:hAnsi="Times New Roman" w:hint="default"/>
      </w:rPr>
    </w:lvl>
  </w:abstractNum>
  <w:abstractNum w:abstractNumId="9" w15:restartNumberingAfterBreak="0">
    <w:nsid w:val="5737110D"/>
    <w:multiLevelType w:val="hybridMultilevel"/>
    <w:tmpl w:val="9DBA8B34"/>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0" w15:restartNumberingAfterBreak="0">
    <w:nsid w:val="66B75600"/>
    <w:multiLevelType w:val="singleLevel"/>
    <w:tmpl w:val="EBBC44FA"/>
    <w:lvl w:ilvl="0">
      <w:start w:val="1"/>
      <w:numFmt w:val="bullet"/>
      <w:pStyle w:val="Russite"/>
      <w:lvlText w:val=""/>
      <w:lvlJc w:val="left"/>
      <w:pPr>
        <w:tabs>
          <w:tab w:val="num" w:pos="360"/>
        </w:tabs>
        <w:ind w:left="245" w:hanging="245"/>
      </w:pPr>
      <w:rPr>
        <w:rFonts w:ascii="Wingdings" w:hAnsi="Wingdings" w:hint="default"/>
      </w:rPr>
    </w:lvl>
  </w:abstractNum>
  <w:abstractNum w:abstractNumId="11" w15:restartNumberingAfterBreak="0">
    <w:nsid w:val="68A71903"/>
    <w:multiLevelType w:val="multilevel"/>
    <w:tmpl w:val="E8387330"/>
    <w:lvl w:ilvl="0">
      <w:start w:val="1"/>
      <w:numFmt w:val="bullet"/>
      <w:pStyle w:val="NormalArial"/>
      <w:lvlText w:val=""/>
      <w:lvlJc w:val="left"/>
      <w:pPr>
        <w:tabs>
          <w:tab w:val="num" w:pos="1353"/>
        </w:tabs>
        <w:ind w:left="1353" w:hanging="360"/>
      </w:pPr>
      <w:rPr>
        <w:rFonts w:ascii="Wingdings" w:hAnsi="Wingdings" w:hint="default"/>
      </w:rPr>
    </w:lvl>
    <w:lvl w:ilvl="1" w:tentative="1">
      <w:start w:val="1"/>
      <w:numFmt w:val="bullet"/>
      <w:lvlText w:val="o"/>
      <w:lvlJc w:val="left"/>
      <w:pPr>
        <w:tabs>
          <w:tab w:val="num" w:pos="2356"/>
        </w:tabs>
        <w:ind w:left="2356" w:hanging="360"/>
      </w:pPr>
      <w:rPr>
        <w:rFonts w:ascii="Courier New" w:hAnsi="Courier New" w:cs="Wingdings" w:hint="default"/>
      </w:rPr>
    </w:lvl>
    <w:lvl w:ilvl="2" w:tentative="1">
      <w:start w:val="1"/>
      <w:numFmt w:val="bullet"/>
      <w:lvlText w:val=""/>
      <w:lvlJc w:val="left"/>
      <w:pPr>
        <w:tabs>
          <w:tab w:val="num" w:pos="3076"/>
        </w:tabs>
        <w:ind w:left="3076" w:hanging="360"/>
      </w:pPr>
      <w:rPr>
        <w:rFonts w:ascii="Wingdings" w:hAnsi="Wingdings" w:hint="default"/>
      </w:rPr>
    </w:lvl>
    <w:lvl w:ilvl="3" w:tentative="1">
      <w:start w:val="1"/>
      <w:numFmt w:val="bullet"/>
      <w:lvlText w:val=""/>
      <w:lvlJc w:val="left"/>
      <w:pPr>
        <w:tabs>
          <w:tab w:val="num" w:pos="3796"/>
        </w:tabs>
        <w:ind w:left="3796" w:hanging="360"/>
      </w:pPr>
      <w:rPr>
        <w:rFonts w:ascii="Symbol" w:hAnsi="Symbol" w:hint="default"/>
      </w:rPr>
    </w:lvl>
    <w:lvl w:ilvl="4" w:tentative="1">
      <w:start w:val="1"/>
      <w:numFmt w:val="bullet"/>
      <w:lvlText w:val="o"/>
      <w:lvlJc w:val="left"/>
      <w:pPr>
        <w:tabs>
          <w:tab w:val="num" w:pos="4516"/>
        </w:tabs>
        <w:ind w:left="4516" w:hanging="360"/>
      </w:pPr>
      <w:rPr>
        <w:rFonts w:ascii="Courier New" w:hAnsi="Courier New" w:cs="Wingdings" w:hint="default"/>
      </w:rPr>
    </w:lvl>
    <w:lvl w:ilvl="5" w:tentative="1">
      <w:start w:val="1"/>
      <w:numFmt w:val="bullet"/>
      <w:lvlText w:val=""/>
      <w:lvlJc w:val="left"/>
      <w:pPr>
        <w:tabs>
          <w:tab w:val="num" w:pos="5236"/>
        </w:tabs>
        <w:ind w:left="5236" w:hanging="360"/>
      </w:pPr>
      <w:rPr>
        <w:rFonts w:ascii="Wingdings" w:hAnsi="Wingdings" w:hint="default"/>
      </w:rPr>
    </w:lvl>
    <w:lvl w:ilvl="6" w:tentative="1">
      <w:start w:val="1"/>
      <w:numFmt w:val="bullet"/>
      <w:lvlText w:val=""/>
      <w:lvlJc w:val="left"/>
      <w:pPr>
        <w:tabs>
          <w:tab w:val="num" w:pos="5956"/>
        </w:tabs>
        <w:ind w:left="5956" w:hanging="360"/>
      </w:pPr>
      <w:rPr>
        <w:rFonts w:ascii="Symbol" w:hAnsi="Symbol" w:hint="default"/>
      </w:rPr>
    </w:lvl>
    <w:lvl w:ilvl="7" w:tentative="1">
      <w:start w:val="1"/>
      <w:numFmt w:val="bullet"/>
      <w:lvlText w:val="o"/>
      <w:lvlJc w:val="left"/>
      <w:pPr>
        <w:tabs>
          <w:tab w:val="num" w:pos="6676"/>
        </w:tabs>
        <w:ind w:left="6676" w:hanging="360"/>
      </w:pPr>
      <w:rPr>
        <w:rFonts w:ascii="Courier New" w:hAnsi="Courier New" w:cs="Wingdings" w:hint="default"/>
      </w:rPr>
    </w:lvl>
    <w:lvl w:ilvl="8" w:tentative="1">
      <w:start w:val="1"/>
      <w:numFmt w:val="bullet"/>
      <w:lvlText w:val=""/>
      <w:lvlJc w:val="left"/>
      <w:pPr>
        <w:tabs>
          <w:tab w:val="num" w:pos="7396"/>
        </w:tabs>
        <w:ind w:left="7396" w:hanging="360"/>
      </w:pPr>
      <w:rPr>
        <w:rFonts w:ascii="Wingdings" w:hAnsi="Wingdings" w:hint="default"/>
      </w:rPr>
    </w:lvl>
  </w:abstractNum>
  <w:num w:numId="1" w16cid:durableId="65538095">
    <w:abstractNumId w:val="10"/>
  </w:num>
  <w:num w:numId="2" w16cid:durableId="532767004">
    <w:abstractNumId w:val="8"/>
  </w:num>
  <w:num w:numId="3" w16cid:durableId="1397358681">
    <w:abstractNumId w:val="11"/>
  </w:num>
  <w:num w:numId="4" w16cid:durableId="1567106404">
    <w:abstractNumId w:val="5"/>
  </w:num>
  <w:num w:numId="5" w16cid:durableId="402875143">
    <w:abstractNumId w:val="0"/>
  </w:num>
  <w:num w:numId="6" w16cid:durableId="45758716">
    <w:abstractNumId w:val="4"/>
  </w:num>
  <w:num w:numId="7" w16cid:durableId="1502887122">
    <w:abstractNumId w:val="7"/>
  </w:num>
  <w:num w:numId="8" w16cid:durableId="86075722">
    <w:abstractNumId w:val="6"/>
  </w:num>
  <w:num w:numId="9" w16cid:durableId="1762483766">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8" w:dllVersion="513" w:checkStyle="0"/>
  <w:activeWritingStyle w:appName="MSWord" w:lang="fr-FR" w:vendorID="2" w:dllVersion="512" w:checkStyle="1"/>
  <w:activeWritingStyle w:appName="MSWord" w:lang="fr-FR" w:vendorID="9" w:dllVersion="512" w:checkStyle="1"/>
  <w:activeWritingStyle w:appName="MSWord" w:lang="de-DE"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allowincell="f" fillcolor="#ca1634" strokecolor="#ca1634">
      <v:fill color="#ca1634"/>
      <v:stroke color="#ca1634"/>
      <o:colormru v:ext="edit" colors="#ea3452,#e71b3d,#ca163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2BA"/>
    <w:rsid w:val="00001A02"/>
    <w:rsid w:val="0001046F"/>
    <w:rsid w:val="00017280"/>
    <w:rsid w:val="000177BC"/>
    <w:rsid w:val="00022894"/>
    <w:rsid w:val="00022F05"/>
    <w:rsid w:val="00026F14"/>
    <w:rsid w:val="00030CBE"/>
    <w:rsid w:val="00032151"/>
    <w:rsid w:val="00032DA0"/>
    <w:rsid w:val="00035199"/>
    <w:rsid w:val="00040236"/>
    <w:rsid w:val="0004261E"/>
    <w:rsid w:val="00043879"/>
    <w:rsid w:val="0004471A"/>
    <w:rsid w:val="000470C1"/>
    <w:rsid w:val="00047D93"/>
    <w:rsid w:val="00052740"/>
    <w:rsid w:val="00057E6E"/>
    <w:rsid w:val="00070400"/>
    <w:rsid w:val="0007067B"/>
    <w:rsid w:val="000713E1"/>
    <w:rsid w:val="000757C7"/>
    <w:rsid w:val="000917A4"/>
    <w:rsid w:val="00097AB4"/>
    <w:rsid w:val="000A3207"/>
    <w:rsid w:val="000A6BE2"/>
    <w:rsid w:val="000B2AB6"/>
    <w:rsid w:val="000B4FA7"/>
    <w:rsid w:val="000C616A"/>
    <w:rsid w:val="000D480A"/>
    <w:rsid w:val="000D4DAE"/>
    <w:rsid w:val="000D657F"/>
    <w:rsid w:val="000E2B8D"/>
    <w:rsid w:val="000E4BEA"/>
    <w:rsid w:val="000E7279"/>
    <w:rsid w:val="000F027F"/>
    <w:rsid w:val="000F068D"/>
    <w:rsid w:val="000F23C9"/>
    <w:rsid w:val="000F2A50"/>
    <w:rsid w:val="000F7A53"/>
    <w:rsid w:val="0010060E"/>
    <w:rsid w:val="00101CB9"/>
    <w:rsid w:val="00102344"/>
    <w:rsid w:val="00102696"/>
    <w:rsid w:val="001050A6"/>
    <w:rsid w:val="00106E4C"/>
    <w:rsid w:val="001141B0"/>
    <w:rsid w:val="0012039D"/>
    <w:rsid w:val="001210DE"/>
    <w:rsid w:val="00123C04"/>
    <w:rsid w:val="00124701"/>
    <w:rsid w:val="00133089"/>
    <w:rsid w:val="001344A1"/>
    <w:rsid w:val="00137E1C"/>
    <w:rsid w:val="001464EE"/>
    <w:rsid w:val="001526A6"/>
    <w:rsid w:val="00156994"/>
    <w:rsid w:val="001645C0"/>
    <w:rsid w:val="00167A52"/>
    <w:rsid w:val="001760BF"/>
    <w:rsid w:val="00176C9D"/>
    <w:rsid w:val="00177DC2"/>
    <w:rsid w:val="00181C35"/>
    <w:rsid w:val="001825E1"/>
    <w:rsid w:val="0018594C"/>
    <w:rsid w:val="00186760"/>
    <w:rsid w:val="001914A4"/>
    <w:rsid w:val="001A5AF8"/>
    <w:rsid w:val="001B42BA"/>
    <w:rsid w:val="001C36FC"/>
    <w:rsid w:val="001D5A2A"/>
    <w:rsid w:val="001D5DBB"/>
    <w:rsid w:val="001E30DD"/>
    <w:rsid w:val="001E6B0C"/>
    <w:rsid w:val="00207124"/>
    <w:rsid w:val="0021183C"/>
    <w:rsid w:val="00212DBA"/>
    <w:rsid w:val="00214D71"/>
    <w:rsid w:val="0021580D"/>
    <w:rsid w:val="002165A0"/>
    <w:rsid w:val="00221117"/>
    <w:rsid w:val="00225A79"/>
    <w:rsid w:val="00225D46"/>
    <w:rsid w:val="00225F07"/>
    <w:rsid w:val="0023477A"/>
    <w:rsid w:val="002347DF"/>
    <w:rsid w:val="002410C0"/>
    <w:rsid w:val="002421FB"/>
    <w:rsid w:val="002438FB"/>
    <w:rsid w:val="002462D3"/>
    <w:rsid w:val="002464B6"/>
    <w:rsid w:val="00253027"/>
    <w:rsid w:val="00254B0B"/>
    <w:rsid w:val="00256AED"/>
    <w:rsid w:val="002572A8"/>
    <w:rsid w:val="00260E0A"/>
    <w:rsid w:val="002633F3"/>
    <w:rsid w:val="00263486"/>
    <w:rsid w:val="00264EF2"/>
    <w:rsid w:val="00270770"/>
    <w:rsid w:val="002722AE"/>
    <w:rsid w:val="00275CF3"/>
    <w:rsid w:val="0028565A"/>
    <w:rsid w:val="0028711B"/>
    <w:rsid w:val="00291D1A"/>
    <w:rsid w:val="00291D7D"/>
    <w:rsid w:val="00292D05"/>
    <w:rsid w:val="00293C47"/>
    <w:rsid w:val="00297D29"/>
    <w:rsid w:val="002A1272"/>
    <w:rsid w:val="002A3185"/>
    <w:rsid w:val="002A4426"/>
    <w:rsid w:val="002A4ECB"/>
    <w:rsid w:val="002A7031"/>
    <w:rsid w:val="002A755A"/>
    <w:rsid w:val="002B03BF"/>
    <w:rsid w:val="002B12F1"/>
    <w:rsid w:val="002B2BBF"/>
    <w:rsid w:val="002B72CD"/>
    <w:rsid w:val="002C140F"/>
    <w:rsid w:val="002C167F"/>
    <w:rsid w:val="002C5C2C"/>
    <w:rsid w:val="002D0DC7"/>
    <w:rsid w:val="002D2A77"/>
    <w:rsid w:val="002D428A"/>
    <w:rsid w:val="002D5A48"/>
    <w:rsid w:val="002E1292"/>
    <w:rsid w:val="002E1389"/>
    <w:rsid w:val="002E15E0"/>
    <w:rsid w:val="002E463C"/>
    <w:rsid w:val="002E4D20"/>
    <w:rsid w:val="002F0C18"/>
    <w:rsid w:val="002F44E8"/>
    <w:rsid w:val="002F785C"/>
    <w:rsid w:val="00301018"/>
    <w:rsid w:val="003032F8"/>
    <w:rsid w:val="003046C4"/>
    <w:rsid w:val="00304B27"/>
    <w:rsid w:val="00305ACE"/>
    <w:rsid w:val="003123F1"/>
    <w:rsid w:val="003143FE"/>
    <w:rsid w:val="003158AB"/>
    <w:rsid w:val="00315901"/>
    <w:rsid w:val="00317425"/>
    <w:rsid w:val="00317448"/>
    <w:rsid w:val="003228B8"/>
    <w:rsid w:val="003303BB"/>
    <w:rsid w:val="003316FD"/>
    <w:rsid w:val="00332B41"/>
    <w:rsid w:val="00334B73"/>
    <w:rsid w:val="003430AB"/>
    <w:rsid w:val="00345755"/>
    <w:rsid w:val="00346391"/>
    <w:rsid w:val="00346C81"/>
    <w:rsid w:val="0035172F"/>
    <w:rsid w:val="00352FA9"/>
    <w:rsid w:val="00366268"/>
    <w:rsid w:val="00366DEC"/>
    <w:rsid w:val="00370F80"/>
    <w:rsid w:val="0037249B"/>
    <w:rsid w:val="003738C0"/>
    <w:rsid w:val="00373D0B"/>
    <w:rsid w:val="00384C6C"/>
    <w:rsid w:val="00385A9E"/>
    <w:rsid w:val="00393D14"/>
    <w:rsid w:val="0039428B"/>
    <w:rsid w:val="003A0F4B"/>
    <w:rsid w:val="003A3AF9"/>
    <w:rsid w:val="003A5F39"/>
    <w:rsid w:val="003B3059"/>
    <w:rsid w:val="003C076E"/>
    <w:rsid w:val="003C13F8"/>
    <w:rsid w:val="003C6C31"/>
    <w:rsid w:val="003D0426"/>
    <w:rsid w:val="003D056F"/>
    <w:rsid w:val="003D26E3"/>
    <w:rsid w:val="003D333B"/>
    <w:rsid w:val="003D528F"/>
    <w:rsid w:val="003D5E1E"/>
    <w:rsid w:val="003D6179"/>
    <w:rsid w:val="003D78E3"/>
    <w:rsid w:val="003F002D"/>
    <w:rsid w:val="003F20C9"/>
    <w:rsid w:val="003F2508"/>
    <w:rsid w:val="003F4B16"/>
    <w:rsid w:val="00402621"/>
    <w:rsid w:val="004128EB"/>
    <w:rsid w:val="00415ACF"/>
    <w:rsid w:val="00415FC5"/>
    <w:rsid w:val="004164A7"/>
    <w:rsid w:val="0042119D"/>
    <w:rsid w:val="00421AD9"/>
    <w:rsid w:val="0042268E"/>
    <w:rsid w:val="0042283E"/>
    <w:rsid w:val="00426375"/>
    <w:rsid w:val="0043095F"/>
    <w:rsid w:val="00431906"/>
    <w:rsid w:val="00433EAA"/>
    <w:rsid w:val="00433F10"/>
    <w:rsid w:val="004343B9"/>
    <w:rsid w:val="004370A2"/>
    <w:rsid w:val="00437C07"/>
    <w:rsid w:val="0044057D"/>
    <w:rsid w:val="0044522A"/>
    <w:rsid w:val="00445A78"/>
    <w:rsid w:val="004501C5"/>
    <w:rsid w:val="0045530A"/>
    <w:rsid w:val="00461A4A"/>
    <w:rsid w:val="004636E7"/>
    <w:rsid w:val="0047525A"/>
    <w:rsid w:val="00475539"/>
    <w:rsid w:val="00475C28"/>
    <w:rsid w:val="004779C0"/>
    <w:rsid w:val="00483335"/>
    <w:rsid w:val="00484B65"/>
    <w:rsid w:val="004947D0"/>
    <w:rsid w:val="00496336"/>
    <w:rsid w:val="0049744B"/>
    <w:rsid w:val="004A3563"/>
    <w:rsid w:val="004A5429"/>
    <w:rsid w:val="004A5576"/>
    <w:rsid w:val="004B35C6"/>
    <w:rsid w:val="004B79E2"/>
    <w:rsid w:val="004C0EBA"/>
    <w:rsid w:val="004C54B0"/>
    <w:rsid w:val="004C60CA"/>
    <w:rsid w:val="004D0C55"/>
    <w:rsid w:val="004D3140"/>
    <w:rsid w:val="004D3F1C"/>
    <w:rsid w:val="004E6781"/>
    <w:rsid w:val="004E6AB5"/>
    <w:rsid w:val="004F2A36"/>
    <w:rsid w:val="004F44CE"/>
    <w:rsid w:val="00500928"/>
    <w:rsid w:val="0050421B"/>
    <w:rsid w:val="00510155"/>
    <w:rsid w:val="0051056F"/>
    <w:rsid w:val="00514DDC"/>
    <w:rsid w:val="005270E0"/>
    <w:rsid w:val="00530BF6"/>
    <w:rsid w:val="00531FFC"/>
    <w:rsid w:val="00533540"/>
    <w:rsid w:val="00533656"/>
    <w:rsid w:val="00534FEB"/>
    <w:rsid w:val="005420C8"/>
    <w:rsid w:val="0054306B"/>
    <w:rsid w:val="005437DD"/>
    <w:rsid w:val="005458F6"/>
    <w:rsid w:val="00545A14"/>
    <w:rsid w:val="0055014D"/>
    <w:rsid w:val="00551589"/>
    <w:rsid w:val="00555B3B"/>
    <w:rsid w:val="005616CF"/>
    <w:rsid w:val="0056210A"/>
    <w:rsid w:val="00562395"/>
    <w:rsid w:val="00565EF2"/>
    <w:rsid w:val="00570597"/>
    <w:rsid w:val="0058013C"/>
    <w:rsid w:val="005815C9"/>
    <w:rsid w:val="005820F5"/>
    <w:rsid w:val="00584780"/>
    <w:rsid w:val="005867CB"/>
    <w:rsid w:val="005B03A3"/>
    <w:rsid w:val="005B44F8"/>
    <w:rsid w:val="005C1D0A"/>
    <w:rsid w:val="005C7FF7"/>
    <w:rsid w:val="005D2564"/>
    <w:rsid w:val="005D5D13"/>
    <w:rsid w:val="005D6B6E"/>
    <w:rsid w:val="005E0CA0"/>
    <w:rsid w:val="005E2BEB"/>
    <w:rsid w:val="005F10E1"/>
    <w:rsid w:val="005F2A48"/>
    <w:rsid w:val="005F2D09"/>
    <w:rsid w:val="005F35A6"/>
    <w:rsid w:val="005F5636"/>
    <w:rsid w:val="00602A91"/>
    <w:rsid w:val="006119A4"/>
    <w:rsid w:val="0061263A"/>
    <w:rsid w:val="00613A74"/>
    <w:rsid w:val="00613DCE"/>
    <w:rsid w:val="006164D6"/>
    <w:rsid w:val="006234B9"/>
    <w:rsid w:val="00625898"/>
    <w:rsid w:val="006262D2"/>
    <w:rsid w:val="0063064A"/>
    <w:rsid w:val="00632240"/>
    <w:rsid w:val="006336A8"/>
    <w:rsid w:val="00635621"/>
    <w:rsid w:val="00635B0D"/>
    <w:rsid w:val="00637795"/>
    <w:rsid w:val="006521F7"/>
    <w:rsid w:val="00652986"/>
    <w:rsid w:val="0065315D"/>
    <w:rsid w:val="00653327"/>
    <w:rsid w:val="00653F5F"/>
    <w:rsid w:val="0065425B"/>
    <w:rsid w:val="006552D1"/>
    <w:rsid w:val="00660E74"/>
    <w:rsid w:val="00662ECF"/>
    <w:rsid w:val="00663E24"/>
    <w:rsid w:val="006647E0"/>
    <w:rsid w:val="00671CA4"/>
    <w:rsid w:val="00673218"/>
    <w:rsid w:val="00677E8B"/>
    <w:rsid w:val="0068630A"/>
    <w:rsid w:val="00690613"/>
    <w:rsid w:val="006940E0"/>
    <w:rsid w:val="00695764"/>
    <w:rsid w:val="00695DA6"/>
    <w:rsid w:val="00696830"/>
    <w:rsid w:val="00697C87"/>
    <w:rsid w:val="00697D8A"/>
    <w:rsid w:val="006A249C"/>
    <w:rsid w:val="006A6ADB"/>
    <w:rsid w:val="006A79B0"/>
    <w:rsid w:val="006B02CC"/>
    <w:rsid w:val="006B4D9C"/>
    <w:rsid w:val="006B6491"/>
    <w:rsid w:val="006B6C8A"/>
    <w:rsid w:val="006B71AF"/>
    <w:rsid w:val="006B7FF4"/>
    <w:rsid w:val="006C3B33"/>
    <w:rsid w:val="006C4BA4"/>
    <w:rsid w:val="006D17E2"/>
    <w:rsid w:val="006D43D9"/>
    <w:rsid w:val="006D4CA0"/>
    <w:rsid w:val="006D75F7"/>
    <w:rsid w:val="006E6C1E"/>
    <w:rsid w:val="006F087B"/>
    <w:rsid w:val="006F16E0"/>
    <w:rsid w:val="006F3D85"/>
    <w:rsid w:val="006F5539"/>
    <w:rsid w:val="006F770E"/>
    <w:rsid w:val="006F7D00"/>
    <w:rsid w:val="0070408C"/>
    <w:rsid w:val="00705F2B"/>
    <w:rsid w:val="007066B8"/>
    <w:rsid w:val="007071E1"/>
    <w:rsid w:val="00707AE3"/>
    <w:rsid w:val="00710E9F"/>
    <w:rsid w:val="00711DE3"/>
    <w:rsid w:val="00715054"/>
    <w:rsid w:val="007154BD"/>
    <w:rsid w:val="00716F1E"/>
    <w:rsid w:val="007178CC"/>
    <w:rsid w:val="0073534D"/>
    <w:rsid w:val="007369A9"/>
    <w:rsid w:val="00736AFC"/>
    <w:rsid w:val="00737F31"/>
    <w:rsid w:val="00740C5B"/>
    <w:rsid w:val="00740E0F"/>
    <w:rsid w:val="00740EC3"/>
    <w:rsid w:val="0074222C"/>
    <w:rsid w:val="00743FD7"/>
    <w:rsid w:val="0075187A"/>
    <w:rsid w:val="007527E9"/>
    <w:rsid w:val="00752842"/>
    <w:rsid w:val="00752947"/>
    <w:rsid w:val="007541E1"/>
    <w:rsid w:val="00760515"/>
    <w:rsid w:val="00760F80"/>
    <w:rsid w:val="00765903"/>
    <w:rsid w:val="00766654"/>
    <w:rsid w:val="00767953"/>
    <w:rsid w:val="00773A36"/>
    <w:rsid w:val="007751D1"/>
    <w:rsid w:val="00775A31"/>
    <w:rsid w:val="0077601A"/>
    <w:rsid w:val="00780396"/>
    <w:rsid w:val="007819CE"/>
    <w:rsid w:val="00781BC8"/>
    <w:rsid w:val="00783BA5"/>
    <w:rsid w:val="007868F3"/>
    <w:rsid w:val="00787B7D"/>
    <w:rsid w:val="00793BB6"/>
    <w:rsid w:val="007B18C9"/>
    <w:rsid w:val="007B5DA4"/>
    <w:rsid w:val="007B6E95"/>
    <w:rsid w:val="007C2CCD"/>
    <w:rsid w:val="007C5A2D"/>
    <w:rsid w:val="007C5D7E"/>
    <w:rsid w:val="007C6E02"/>
    <w:rsid w:val="007D0F7D"/>
    <w:rsid w:val="007D1DD0"/>
    <w:rsid w:val="007D2FE9"/>
    <w:rsid w:val="007D63E8"/>
    <w:rsid w:val="007E0F54"/>
    <w:rsid w:val="007E50F2"/>
    <w:rsid w:val="007E5BB8"/>
    <w:rsid w:val="007E700F"/>
    <w:rsid w:val="007E7391"/>
    <w:rsid w:val="007F13F8"/>
    <w:rsid w:val="007F3CAF"/>
    <w:rsid w:val="007F52DE"/>
    <w:rsid w:val="00801428"/>
    <w:rsid w:val="00801AC0"/>
    <w:rsid w:val="00802452"/>
    <w:rsid w:val="008146D5"/>
    <w:rsid w:val="00816CAD"/>
    <w:rsid w:val="00817A8D"/>
    <w:rsid w:val="00821C2B"/>
    <w:rsid w:val="0082200F"/>
    <w:rsid w:val="008235AB"/>
    <w:rsid w:val="008256C8"/>
    <w:rsid w:val="0082584E"/>
    <w:rsid w:val="00826602"/>
    <w:rsid w:val="008275DA"/>
    <w:rsid w:val="0083424A"/>
    <w:rsid w:val="00834D1F"/>
    <w:rsid w:val="008366F2"/>
    <w:rsid w:val="00840EF2"/>
    <w:rsid w:val="00843D1F"/>
    <w:rsid w:val="00844CF1"/>
    <w:rsid w:val="0084721B"/>
    <w:rsid w:val="00852532"/>
    <w:rsid w:val="008539A8"/>
    <w:rsid w:val="00856039"/>
    <w:rsid w:val="00864FB1"/>
    <w:rsid w:val="008700BF"/>
    <w:rsid w:val="00870C63"/>
    <w:rsid w:val="00871D7F"/>
    <w:rsid w:val="008741ED"/>
    <w:rsid w:val="00885087"/>
    <w:rsid w:val="0089228B"/>
    <w:rsid w:val="00897568"/>
    <w:rsid w:val="008A4A4E"/>
    <w:rsid w:val="008A7578"/>
    <w:rsid w:val="008B37C6"/>
    <w:rsid w:val="008B52BF"/>
    <w:rsid w:val="008C2F4E"/>
    <w:rsid w:val="008C652F"/>
    <w:rsid w:val="008C7129"/>
    <w:rsid w:val="008D251F"/>
    <w:rsid w:val="008D442B"/>
    <w:rsid w:val="008D768E"/>
    <w:rsid w:val="008F36C2"/>
    <w:rsid w:val="008F55D3"/>
    <w:rsid w:val="008F71C3"/>
    <w:rsid w:val="009038D3"/>
    <w:rsid w:val="00905B25"/>
    <w:rsid w:val="0090779A"/>
    <w:rsid w:val="009147CC"/>
    <w:rsid w:val="009165A3"/>
    <w:rsid w:val="00921787"/>
    <w:rsid w:val="00922A8E"/>
    <w:rsid w:val="00924824"/>
    <w:rsid w:val="00926DDE"/>
    <w:rsid w:val="00931567"/>
    <w:rsid w:val="00934124"/>
    <w:rsid w:val="00940F5F"/>
    <w:rsid w:val="009426EF"/>
    <w:rsid w:val="00943EBE"/>
    <w:rsid w:val="00944B39"/>
    <w:rsid w:val="00945211"/>
    <w:rsid w:val="0095551E"/>
    <w:rsid w:val="00964EC5"/>
    <w:rsid w:val="00967930"/>
    <w:rsid w:val="00970D25"/>
    <w:rsid w:val="00972024"/>
    <w:rsid w:val="0097638B"/>
    <w:rsid w:val="009808A3"/>
    <w:rsid w:val="009813C6"/>
    <w:rsid w:val="00981FD1"/>
    <w:rsid w:val="0098227A"/>
    <w:rsid w:val="00990C1C"/>
    <w:rsid w:val="00991CB6"/>
    <w:rsid w:val="00995B58"/>
    <w:rsid w:val="00996472"/>
    <w:rsid w:val="009A07BA"/>
    <w:rsid w:val="009A4EDB"/>
    <w:rsid w:val="009A7C9A"/>
    <w:rsid w:val="009B12AE"/>
    <w:rsid w:val="009B4971"/>
    <w:rsid w:val="009B49C6"/>
    <w:rsid w:val="009B71AA"/>
    <w:rsid w:val="009C6FD0"/>
    <w:rsid w:val="009C7492"/>
    <w:rsid w:val="009D4CB4"/>
    <w:rsid w:val="009D4D0B"/>
    <w:rsid w:val="009E66CC"/>
    <w:rsid w:val="009E74E7"/>
    <w:rsid w:val="009F1A6B"/>
    <w:rsid w:val="009F2C1B"/>
    <w:rsid w:val="00A01616"/>
    <w:rsid w:val="00A01AE6"/>
    <w:rsid w:val="00A01B2B"/>
    <w:rsid w:val="00A035FC"/>
    <w:rsid w:val="00A06595"/>
    <w:rsid w:val="00A068F9"/>
    <w:rsid w:val="00A10E10"/>
    <w:rsid w:val="00A13A2B"/>
    <w:rsid w:val="00A14912"/>
    <w:rsid w:val="00A1606B"/>
    <w:rsid w:val="00A1763D"/>
    <w:rsid w:val="00A21DBD"/>
    <w:rsid w:val="00A3250D"/>
    <w:rsid w:val="00A33B5C"/>
    <w:rsid w:val="00A34FBF"/>
    <w:rsid w:val="00A40042"/>
    <w:rsid w:val="00A443A5"/>
    <w:rsid w:val="00A44A4E"/>
    <w:rsid w:val="00A50E6F"/>
    <w:rsid w:val="00A60AD7"/>
    <w:rsid w:val="00A71CD3"/>
    <w:rsid w:val="00A71CE8"/>
    <w:rsid w:val="00A81B50"/>
    <w:rsid w:val="00A84262"/>
    <w:rsid w:val="00A85A85"/>
    <w:rsid w:val="00A912F2"/>
    <w:rsid w:val="00A91C76"/>
    <w:rsid w:val="00A96248"/>
    <w:rsid w:val="00AA1F65"/>
    <w:rsid w:val="00AA30F0"/>
    <w:rsid w:val="00AB7036"/>
    <w:rsid w:val="00AB79FF"/>
    <w:rsid w:val="00AB7E12"/>
    <w:rsid w:val="00AC0C9C"/>
    <w:rsid w:val="00AC440F"/>
    <w:rsid w:val="00AD4371"/>
    <w:rsid w:val="00AD5686"/>
    <w:rsid w:val="00AD58F7"/>
    <w:rsid w:val="00AD6876"/>
    <w:rsid w:val="00AD6D0A"/>
    <w:rsid w:val="00AE0B3D"/>
    <w:rsid w:val="00AE0C5C"/>
    <w:rsid w:val="00AE657A"/>
    <w:rsid w:val="00AF7B03"/>
    <w:rsid w:val="00B00920"/>
    <w:rsid w:val="00B00CE6"/>
    <w:rsid w:val="00B01F53"/>
    <w:rsid w:val="00B022B7"/>
    <w:rsid w:val="00B06BDB"/>
    <w:rsid w:val="00B1089E"/>
    <w:rsid w:val="00B12153"/>
    <w:rsid w:val="00B20C86"/>
    <w:rsid w:val="00B21A71"/>
    <w:rsid w:val="00B32B1A"/>
    <w:rsid w:val="00B52306"/>
    <w:rsid w:val="00B57CD5"/>
    <w:rsid w:val="00B61E9E"/>
    <w:rsid w:val="00B628AA"/>
    <w:rsid w:val="00B646A3"/>
    <w:rsid w:val="00B66C14"/>
    <w:rsid w:val="00B71D27"/>
    <w:rsid w:val="00B75E36"/>
    <w:rsid w:val="00B75EFD"/>
    <w:rsid w:val="00B82EC4"/>
    <w:rsid w:val="00B84EB4"/>
    <w:rsid w:val="00B86B34"/>
    <w:rsid w:val="00B870E8"/>
    <w:rsid w:val="00B90BEE"/>
    <w:rsid w:val="00B90CC7"/>
    <w:rsid w:val="00B91865"/>
    <w:rsid w:val="00B91DC5"/>
    <w:rsid w:val="00B91EA5"/>
    <w:rsid w:val="00B95C9F"/>
    <w:rsid w:val="00BA0FE8"/>
    <w:rsid w:val="00BA3962"/>
    <w:rsid w:val="00BA56B0"/>
    <w:rsid w:val="00BA6D74"/>
    <w:rsid w:val="00BB3DAC"/>
    <w:rsid w:val="00BC16AD"/>
    <w:rsid w:val="00BC618B"/>
    <w:rsid w:val="00BC62D9"/>
    <w:rsid w:val="00BD029C"/>
    <w:rsid w:val="00BD02E5"/>
    <w:rsid w:val="00BD6458"/>
    <w:rsid w:val="00BE2DD6"/>
    <w:rsid w:val="00BE38E0"/>
    <w:rsid w:val="00BE41D2"/>
    <w:rsid w:val="00BF1AAD"/>
    <w:rsid w:val="00BF4115"/>
    <w:rsid w:val="00BF7EE1"/>
    <w:rsid w:val="00C00931"/>
    <w:rsid w:val="00C018EC"/>
    <w:rsid w:val="00C1134B"/>
    <w:rsid w:val="00C15E32"/>
    <w:rsid w:val="00C16DCB"/>
    <w:rsid w:val="00C1750D"/>
    <w:rsid w:val="00C178F6"/>
    <w:rsid w:val="00C305CD"/>
    <w:rsid w:val="00C322C9"/>
    <w:rsid w:val="00C33A79"/>
    <w:rsid w:val="00C363B2"/>
    <w:rsid w:val="00C40542"/>
    <w:rsid w:val="00C4126C"/>
    <w:rsid w:val="00C477CF"/>
    <w:rsid w:val="00C50E96"/>
    <w:rsid w:val="00C55211"/>
    <w:rsid w:val="00C57EB2"/>
    <w:rsid w:val="00C6066D"/>
    <w:rsid w:val="00C60808"/>
    <w:rsid w:val="00C61C6E"/>
    <w:rsid w:val="00C62AD1"/>
    <w:rsid w:val="00C6491B"/>
    <w:rsid w:val="00C730EE"/>
    <w:rsid w:val="00C73252"/>
    <w:rsid w:val="00C76BFC"/>
    <w:rsid w:val="00C76E48"/>
    <w:rsid w:val="00C775DA"/>
    <w:rsid w:val="00C77FDE"/>
    <w:rsid w:val="00C86F5C"/>
    <w:rsid w:val="00C9198E"/>
    <w:rsid w:val="00C91CCE"/>
    <w:rsid w:val="00C959F8"/>
    <w:rsid w:val="00CA1C63"/>
    <w:rsid w:val="00CA3FDF"/>
    <w:rsid w:val="00CA56B1"/>
    <w:rsid w:val="00CB41B9"/>
    <w:rsid w:val="00CB4BA8"/>
    <w:rsid w:val="00CB5AD3"/>
    <w:rsid w:val="00CB67FB"/>
    <w:rsid w:val="00CB7ECE"/>
    <w:rsid w:val="00CC1D62"/>
    <w:rsid w:val="00CC3B54"/>
    <w:rsid w:val="00CD07CD"/>
    <w:rsid w:val="00CD15AD"/>
    <w:rsid w:val="00CD6AB9"/>
    <w:rsid w:val="00CD79DC"/>
    <w:rsid w:val="00CE640E"/>
    <w:rsid w:val="00CE7CAE"/>
    <w:rsid w:val="00CF2799"/>
    <w:rsid w:val="00CF4D36"/>
    <w:rsid w:val="00CF7456"/>
    <w:rsid w:val="00D035EF"/>
    <w:rsid w:val="00D112E7"/>
    <w:rsid w:val="00D1362E"/>
    <w:rsid w:val="00D13A17"/>
    <w:rsid w:val="00D15AD6"/>
    <w:rsid w:val="00D16287"/>
    <w:rsid w:val="00D16EAC"/>
    <w:rsid w:val="00D17961"/>
    <w:rsid w:val="00D21003"/>
    <w:rsid w:val="00D24AF1"/>
    <w:rsid w:val="00D2628E"/>
    <w:rsid w:val="00D3166C"/>
    <w:rsid w:val="00D3349D"/>
    <w:rsid w:val="00D33742"/>
    <w:rsid w:val="00D33B44"/>
    <w:rsid w:val="00D340D7"/>
    <w:rsid w:val="00D36BE3"/>
    <w:rsid w:val="00D3766B"/>
    <w:rsid w:val="00D43E23"/>
    <w:rsid w:val="00D4436B"/>
    <w:rsid w:val="00D51E54"/>
    <w:rsid w:val="00D521BF"/>
    <w:rsid w:val="00D52B6A"/>
    <w:rsid w:val="00D543DF"/>
    <w:rsid w:val="00D6240F"/>
    <w:rsid w:val="00D63686"/>
    <w:rsid w:val="00D64930"/>
    <w:rsid w:val="00D661E5"/>
    <w:rsid w:val="00D714F2"/>
    <w:rsid w:val="00D731E8"/>
    <w:rsid w:val="00D86902"/>
    <w:rsid w:val="00D94D5D"/>
    <w:rsid w:val="00DA7DDA"/>
    <w:rsid w:val="00DB1219"/>
    <w:rsid w:val="00DB64CE"/>
    <w:rsid w:val="00DB72DF"/>
    <w:rsid w:val="00DC448D"/>
    <w:rsid w:val="00DC704E"/>
    <w:rsid w:val="00DD2B2D"/>
    <w:rsid w:val="00DD493A"/>
    <w:rsid w:val="00DD50B5"/>
    <w:rsid w:val="00DD6F41"/>
    <w:rsid w:val="00DE2F70"/>
    <w:rsid w:val="00DE391D"/>
    <w:rsid w:val="00DE67AE"/>
    <w:rsid w:val="00DE7818"/>
    <w:rsid w:val="00DF1AED"/>
    <w:rsid w:val="00DF28FE"/>
    <w:rsid w:val="00DF3007"/>
    <w:rsid w:val="00DF5C10"/>
    <w:rsid w:val="00DF7C51"/>
    <w:rsid w:val="00E03F3D"/>
    <w:rsid w:val="00E04BC9"/>
    <w:rsid w:val="00E05132"/>
    <w:rsid w:val="00E07C53"/>
    <w:rsid w:val="00E1069D"/>
    <w:rsid w:val="00E227F7"/>
    <w:rsid w:val="00E237A8"/>
    <w:rsid w:val="00E27DB3"/>
    <w:rsid w:val="00E30058"/>
    <w:rsid w:val="00E30514"/>
    <w:rsid w:val="00E30A6A"/>
    <w:rsid w:val="00E30C59"/>
    <w:rsid w:val="00E335F7"/>
    <w:rsid w:val="00E33859"/>
    <w:rsid w:val="00E352B4"/>
    <w:rsid w:val="00E433AB"/>
    <w:rsid w:val="00E4481F"/>
    <w:rsid w:val="00E46A4F"/>
    <w:rsid w:val="00E500CB"/>
    <w:rsid w:val="00E5415A"/>
    <w:rsid w:val="00E548E4"/>
    <w:rsid w:val="00E62426"/>
    <w:rsid w:val="00E6486E"/>
    <w:rsid w:val="00E65314"/>
    <w:rsid w:val="00E7024A"/>
    <w:rsid w:val="00E717D9"/>
    <w:rsid w:val="00E75EE9"/>
    <w:rsid w:val="00E77635"/>
    <w:rsid w:val="00E77F99"/>
    <w:rsid w:val="00E82659"/>
    <w:rsid w:val="00E82E4B"/>
    <w:rsid w:val="00E83B5B"/>
    <w:rsid w:val="00E843DD"/>
    <w:rsid w:val="00E84705"/>
    <w:rsid w:val="00E85946"/>
    <w:rsid w:val="00E85FBC"/>
    <w:rsid w:val="00E92D41"/>
    <w:rsid w:val="00E954C5"/>
    <w:rsid w:val="00E95E24"/>
    <w:rsid w:val="00E96DCE"/>
    <w:rsid w:val="00EA71B1"/>
    <w:rsid w:val="00EC0580"/>
    <w:rsid w:val="00EC116F"/>
    <w:rsid w:val="00EC6D6B"/>
    <w:rsid w:val="00ED0748"/>
    <w:rsid w:val="00ED693B"/>
    <w:rsid w:val="00ED70E6"/>
    <w:rsid w:val="00EE10FF"/>
    <w:rsid w:val="00EE12DE"/>
    <w:rsid w:val="00EE489E"/>
    <w:rsid w:val="00EE6BB7"/>
    <w:rsid w:val="00F0174E"/>
    <w:rsid w:val="00F03FAA"/>
    <w:rsid w:val="00F057DB"/>
    <w:rsid w:val="00F11DBB"/>
    <w:rsid w:val="00F15F2F"/>
    <w:rsid w:val="00F21209"/>
    <w:rsid w:val="00F21838"/>
    <w:rsid w:val="00F222B8"/>
    <w:rsid w:val="00F25848"/>
    <w:rsid w:val="00F27F6A"/>
    <w:rsid w:val="00F30AF5"/>
    <w:rsid w:val="00F31DEA"/>
    <w:rsid w:val="00F3233D"/>
    <w:rsid w:val="00F342C3"/>
    <w:rsid w:val="00F3558F"/>
    <w:rsid w:val="00F40107"/>
    <w:rsid w:val="00F458F6"/>
    <w:rsid w:val="00F45908"/>
    <w:rsid w:val="00F46804"/>
    <w:rsid w:val="00F5341F"/>
    <w:rsid w:val="00F54172"/>
    <w:rsid w:val="00F613BD"/>
    <w:rsid w:val="00F66C47"/>
    <w:rsid w:val="00F733E8"/>
    <w:rsid w:val="00F73F32"/>
    <w:rsid w:val="00F776BD"/>
    <w:rsid w:val="00F77C9D"/>
    <w:rsid w:val="00F82558"/>
    <w:rsid w:val="00F903E3"/>
    <w:rsid w:val="00F90CEF"/>
    <w:rsid w:val="00F93191"/>
    <w:rsid w:val="00F94C18"/>
    <w:rsid w:val="00F95065"/>
    <w:rsid w:val="00F97BAE"/>
    <w:rsid w:val="00FA07A7"/>
    <w:rsid w:val="00FA1C09"/>
    <w:rsid w:val="00FA2BD6"/>
    <w:rsid w:val="00FA7735"/>
    <w:rsid w:val="00FB3484"/>
    <w:rsid w:val="00FD0AC9"/>
    <w:rsid w:val="00FD4308"/>
    <w:rsid w:val="00FD44E1"/>
    <w:rsid w:val="00FD51B2"/>
    <w:rsid w:val="00FD55F4"/>
    <w:rsid w:val="00FD6E9B"/>
    <w:rsid w:val="00FE4B93"/>
    <w:rsid w:val="00FE57CB"/>
    <w:rsid w:val="00FE6241"/>
    <w:rsid w:val="00FF04F2"/>
    <w:rsid w:val="00FF07E9"/>
    <w:rsid w:val="00FF400B"/>
    <w:rsid w:val="00FF4075"/>
    <w:rsid w:val="00FF685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allowincell="f" fillcolor="#ca1634" strokecolor="#ca1634">
      <v:fill color="#ca1634"/>
      <v:stroke color="#ca1634"/>
      <o:colormru v:ext="edit" colors="#ea3452,#e71b3d,#ca1634"/>
    </o:shapedefaults>
    <o:shapelayout v:ext="edit">
      <o:idmap v:ext="edit" data="2"/>
    </o:shapelayout>
  </w:shapeDefaults>
  <w:decimalSymbol w:val=","/>
  <w:listSeparator w:val=";"/>
  <w14:docId w14:val="4DD4F328"/>
  <w15:docId w15:val="{DCE84A53-230D-46F5-BAA3-A0573D408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D20"/>
    <w:pPr>
      <w:jc w:val="both"/>
    </w:pPr>
    <w:rPr>
      <w:rFonts w:ascii="Arial" w:hAnsi="Arial"/>
    </w:rPr>
  </w:style>
  <w:style w:type="paragraph" w:styleId="Titre1">
    <w:name w:val="heading 1"/>
    <w:basedOn w:val="TitreBase"/>
    <w:next w:val="Corpsdetexte"/>
    <w:qFormat/>
    <w:rsid w:val="00F222B8"/>
    <w:pPr>
      <w:spacing w:before="220" w:after="220"/>
      <w:ind w:left="-2160"/>
      <w:jc w:val="left"/>
      <w:outlineLvl w:val="0"/>
    </w:pPr>
    <w:rPr>
      <w:rFonts w:ascii="Arial Black" w:hAnsi="Arial Black"/>
      <w:kern w:val="28"/>
      <w:sz w:val="20"/>
    </w:rPr>
  </w:style>
  <w:style w:type="paragraph" w:styleId="Titre2">
    <w:name w:val="heading 2"/>
    <w:basedOn w:val="TitreBase"/>
    <w:next w:val="Corpsdetexte"/>
    <w:qFormat/>
    <w:rsid w:val="00F222B8"/>
    <w:pPr>
      <w:spacing w:after="220"/>
      <w:jc w:val="left"/>
      <w:outlineLvl w:val="1"/>
    </w:pPr>
    <w:rPr>
      <w:rFonts w:ascii="Arial Black" w:hAnsi="Arial Black"/>
      <w:sz w:val="20"/>
    </w:rPr>
  </w:style>
  <w:style w:type="paragraph" w:styleId="Titre3">
    <w:name w:val="heading 3"/>
    <w:basedOn w:val="TitreBase"/>
    <w:next w:val="Corpsdetexte"/>
    <w:qFormat/>
    <w:rsid w:val="00F222B8"/>
    <w:pPr>
      <w:spacing w:after="220"/>
      <w:jc w:val="left"/>
      <w:outlineLvl w:val="2"/>
    </w:pPr>
    <w:rPr>
      <w:i/>
      <w:spacing w:val="-2"/>
      <w:sz w:val="20"/>
    </w:rPr>
  </w:style>
  <w:style w:type="paragraph" w:styleId="Titre4">
    <w:name w:val="heading 4"/>
    <w:basedOn w:val="TitreBase"/>
    <w:next w:val="Corpsdetexte"/>
    <w:qFormat/>
    <w:rsid w:val="00F222B8"/>
    <w:pPr>
      <w:jc w:val="left"/>
      <w:outlineLvl w:val="3"/>
    </w:pPr>
    <w:rPr>
      <w:rFonts w:ascii="Arial Black" w:hAnsi="Arial Black"/>
      <w:sz w:val="20"/>
    </w:rPr>
  </w:style>
  <w:style w:type="paragraph" w:styleId="Titre5">
    <w:name w:val="heading 5"/>
    <w:basedOn w:val="TitreBase"/>
    <w:next w:val="Corpsdetexte"/>
    <w:qFormat/>
    <w:rsid w:val="00F222B8"/>
    <w:pPr>
      <w:spacing w:after="220"/>
      <w:jc w:val="left"/>
      <w:outlineLvl w:val="4"/>
    </w:pPr>
    <w:rPr>
      <w:rFonts w:ascii="Arial Black" w:hAnsi="Arial Black"/>
      <w:sz w:val="16"/>
    </w:rPr>
  </w:style>
  <w:style w:type="paragraph" w:styleId="Titre6">
    <w:name w:val="heading 6"/>
    <w:basedOn w:val="Normal"/>
    <w:next w:val="Normal"/>
    <w:qFormat/>
    <w:rsid w:val="00F222B8"/>
    <w:pPr>
      <w:spacing w:before="240" w:after="60"/>
      <w:outlineLvl w:val="5"/>
    </w:pPr>
    <w:rPr>
      <w:i/>
      <w:sz w:val="22"/>
    </w:rPr>
  </w:style>
  <w:style w:type="paragraph" w:styleId="Titre7">
    <w:name w:val="heading 7"/>
    <w:basedOn w:val="Normal"/>
    <w:next w:val="Normal"/>
    <w:qFormat/>
    <w:rsid w:val="00F222B8"/>
    <w:pPr>
      <w:keepNext/>
      <w:jc w:val="right"/>
      <w:outlineLvl w:val="6"/>
    </w:pPr>
    <w:rPr>
      <w:rFonts w:ascii="Arial Black" w:hAnsi="Arial Black"/>
      <w:b/>
      <w:sz w:val="28"/>
    </w:rPr>
  </w:style>
  <w:style w:type="paragraph" w:styleId="Titre8">
    <w:name w:val="heading 8"/>
    <w:basedOn w:val="Normal"/>
    <w:next w:val="Normal"/>
    <w:qFormat/>
    <w:rsid w:val="00F222B8"/>
    <w:pPr>
      <w:keepNext/>
      <w:outlineLvl w:val="7"/>
    </w:pPr>
    <w:rPr>
      <w:i/>
    </w:rPr>
  </w:style>
  <w:style w:type="paragraph" w:styleId="Titre9">
    <w:name w:val="heading 9"/>
    <w:basedOn w:val="Normal"/>
    <w:next w:val="Normal"/>
    <w:qFormat/>
    <w:rsid w:val="00F222B8"/>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F222B8"/>
    <w:pPr>
      <w:spacing w:after="220" w:line="220" w:lineRule="atLeast"/>
    </w:pPr>
    <w:rPr>
      <w:spacing w:val="-5"/>
    </w:rPr>
  </w:style>
  <w:style w:type="paragraph" w:customStyle="1" w:styleId="Russite">
    <w:name w:val="Réussite"/>
    <w:basedOn w:val="Corpsdetexte"/>
    <w:rsid w:val="00F222B8"/>
    <w:pPr>
      <w:numPr>
        <w:numId w:val="1"/>
      </w:numPr>
      <w:tabs>
        <w:tab w:val="clear" w:pos="360"/>
      </w:tabs>
      <w:spacing w:after="60"/>
      <w:ind w:left="0" w:firstLine="0"/>
    </w:pPr>
  </w:style>
  <w:style w:type="paragraph" w:customStyle="1" w:styleId="Adresse1">
    <w:name w:val="Adresse 1"/>
    <w:basedOn w:val="Normal"/>
    <w:rsid w:val="00F222B8"/>
    <w:pPr>
      <w:framePr w:w="2160" w:wrap="notBeside" w:vAnchor="page" w:hAnchor="page" w:x="8281" w:y="1153"/>
      <w:spacing w:line="160" w:lineRule="atLeast"/>
    </w:pPr>
    <w:rPr>
      <w:sz w:val="14"/>
    </w:rPr>
  </w:style>
  <w:style w:type="paragraph" w:customStyle="1" w:styleId="Adresse2">
    <w:name w:val="Adresse 2"/>
    <w:basedOn w:val="Normal"/>
    <w:rsid w:val="00F222B8"/>
    <w:pPr>
      <w:framePr w:w="2030" w:wrap="notBeside" w:vAnchor="page" w:hAnchor="page" w:x="6121" w:y="1153"/>
      <w:spacing w:line="160" w:lineRule="atLeast"/>
    </w:pPr>
    <w:rPr>
      <w:sz w:val="14"/>
    </w:rPr>
  </w:style>
  <w:style w:type="paragraph" w:styleId="Retraitcorpsdetexte">
    <w:name w:val="Body Text Indent"/>
    <w:basedOn w:val="Corpsdetexte"/>
    <w:rsid w:val="00F222B8"/>
    <w:pPr>
      <w:ind w:left="720"/>
    </w:pPr>
  </w:style>
  <w:style w:type="paragraph" w:styleId="Listepuces4">
    <w:name w:val="List Bullet 4"/>
    <w:basedOn w:val="Normal"/>
    <w:autoRedefine/>
    <w:rsid w:val="00F222B8"/>
    <w:pPr>
      <w:tabs>
        <w:tab w:val="num" w:pos="360"/>
      </w:tabs>
      <w:ind w:left="360" w:hanging="360"/>
    </w:pPr>
    <w:rPr>
      <w:snapToGrid w:val="0"/>
    </w:rPr>
  </w:style>
  <w:style w:type="paragraph" w:customStyle="1" w:styleId="Nomdesocit">
    <w:name w:val="Nom de société"/>
    <w:basedOn w:val="Normal"/>
    <w:next w:val="Normal"/>
    <w:autoRedefine/>
    <w:rsid w:val="00F222B8"/>
    <w:pPr>
      <w:ind w:left="-851"/>
    </w:pPr>
  </w:style>
  <w:style w:type="paragraph" w:customStyle="1" w:styleId="NomdesocitUn">
    <w:name w:val="Nom de société Un"/>
    <w:basedOn w:val="Nomdesocit"/>
    <w:next w:val="Normal"/>
    <w:autoRedefine/>
    <w:rsid w:val="00F222B8"/>
  </w:style>
  <w:style w:type="paragraph" w:styleId="Date">
    <w:name w:val="Date"/>
    <w:basedOn w:val="Corpsdetexte"/>
    <w:rsid w:val="00F222B8"/>
    <w:pPr>
      <w:keepNext/>
    </w:pPr>
  </w:style>
  <w:style w:type="paragraph" w:customStyle="1" w:styleId="tiquettededocument">
    <w:name w:val="Étiquette de document"/>
    <w:basedOn w:val="Normal"/>
    <w:next w:val="Normal"/>
    <w:rsid w:val="00F222B8"/>
    <w:pPr>
      <w:spacing w:after="220"/>
    </w:pPr>
    <w:rPr>
      <w:spacing w:val="-20"/>
      <w:sz w:val="48"/>
    </w:rPr>
  </w:style>
  <w:style w:type="character" w:styleId="Accentuation">
    <w:name w:val="Emphasis"/>
    <w:qFormat/>
    <w:rsid w:val="00F222B8"/>
    <w:rPr>
      <w:rFonts w:ascii="Arial Black" w:hAnsi="Arial Black"/>
      <w:spacing w:val="-8"/>
      <w:sz w:val="18"/>
    </w:rPr>
  </w:style>
  <w:style w:type="paragraph" w:customStyle="1" w:styleId="En-tteBase">
    <w:name w:val="En-tête (Base)"/>
    <w:basedOn w:val="Normal"/>
    <w:rsid w:val="00F222B8"/>
  </w:style>
  <w:style w:type="paragraph" w:styleId="Pieddepage">
    <w:name w:val="footer"/>
    <w:basedOn w:val="En-tteBase"/>
    <w:rsid w:val="00F222B8"/>
    <w:pPr>
      <w:tabs>
        <w:tab w:val="right" w:pos="6840"/>
      </w:tabs>
      <w:spacing w:line="220" w:lineRule="atLeast"/>
      <w:ind w:left="-2160"/>
    </w:pPr>
    <w:rPr>
      <w:b/>
      <w:sz w:val="18"/>
    </w:rPr>
  </w:style>
  <w:style w:type="paragraph" w:styleId="En-tte">
    <w:name w:val="header"/>
    <w:basedOn w:val="En-tteBase"/>
    <w:link w:val="En-tteCar"/>
    <w:rsid w:val="00F222B8"/>
    <w:pPr>
      <w:spacing w:line="220" w:lineRule="atLeast"/>
      <w:ind w:left="-2160"/>
    </w:pPr>
  </w:style>
  <w:style w:type="paragraph" w:customStyle="1" w:styleId="TitreBase">
    <w:name w:val="Titre Base"/>
    <w:basedOn w:val="Corpsdetexte"/>
    <w:next w:val="Corpsdetexte"/>
    <w:rsid w:val="00F222B8"/>
    <w:pPr>
      <w:keepNext/>
      <w:keepLines/>
      <w:spacing w:after="0"/>
    </w:pPr>
    <w:rPr>
      <w:spacing w:val="-4"/>
      <w:sz w:val="18"/>
    </w:rPr>
  </w:style>
  <w:style w:type="paragraph" w:customStyle="1" w:styleId="Organisme">
    <w:name w:val="Organisme"/>
    <w:basedOn w:val="Normal"/>
    <w:next w:val="Russite"/>
    <w:autoRedefine/>
    <w:rsid w:val="00F222B8"/>
    <w:pPr>
      <w:tabs>
        <w:tab w:val="left" w:pos="2160"/>
        <w:tab w:val="right" w:pos="6480"/>
      </w:tabs>
      <w:spacing w:before="240" w:after="60" w:line="220" w:lineRule="atLeast"/>
    </w:pPr>
  </w:style>
  <w:style w:type="character" w:customStyle="1" w:styleId="Poste">
    <w:name w:val="Poste"/>
    <w:basedOn w:val="Policepardfaut"/>
    <w:rsid w:val="00F222B8"/>
  </w:style>
  <w:style w:type="paragraph" w:customStyle="1" w:styleId="Intitulduposte">
    <w:name w:val="Intitulé du poste"/>
    <w:next w:val="Russite"/>
    <w:rsid w:val="00F222B8"/>
    <w:pPr>
      <w:spacing w:after="60" w:line="220" w:lineRule="atLeast"/>
    </w:pPr>
    <w:rPr>
      <w:rFonts w:ascii="Arial Black" w:hAnsi="Arial Black"/>
      <w:spacing w:val="-10"/>
      <w:lang w:val="en-US"/>
    </w:rPr>
  </w:style>
  <w:style w:type="character" w:customStyle="1" w:styleId="PrambuleAccentuation">
    <w:name w:val="Préambule (Accentuation)"/>
    <w:rsid w:val="00F222B8"/>
    <w:rPr>
      <w:rFonts w:ascii="Arial Black" w:hAnsi="Arial Black"/>
      <w:spacing w:val="-6"/>
      <w:sz w:val="18"/>
    </w:rPr>
  </w:style>
  <w:style w:type="paragraph" w:customStyle="1" w:styleId="Nom">
    <w:name w:val="Nom"/>
    <w:basedOn w:val="Normal"/>
    <w:next w:val="Normal"/>
    <w:rsid w:val="00F222B8"/>
    <w:pPr>
      <w:pBdr>
        <w:bottom w:val="single" w:sz="6" w:space="4" w:color="auto"/>
      </w:pBdr>
      <w:spacing w:line="240" w:lineRule="atLeast"/>
    </w:pPr>
    <w:rPr>
      <w:rFonts w:ascii="Arial Black" w:hAnsi="Arial Black"/>
      <w:spacing w:val="-35"/>
      <w:sz w:val="54"/>
    </w:rPr>
  </w:style>
  <w:style w:type="paragraph" w:customStyle="1" w:styleId="ATitredesection">
    <w:name w:val="A_Titre de section"/>
    <w:basedOn w:val="Normal"/>
    <w:next w:val="Normal"/>
    <w:autoRedefine/>
    <w:rsid w:val="00972024"/>
    <w:pPr>
      <w:ind w:left="-142"/>
      <w:jc w:val="left"/>
    </w:pPr>
    <w:rPr>
      <w:rFonts w:cs="Arial"/>
      <w:b/>
      <w:bCs/>
      <w:color w:val="4B0A78"/>
      <w:spacing w:val="-10"/>
      <w:sz w:val="28"/>
      <w:szCs w:val="28"/>
    </w:rPr>
  </w:style>
  <w:style w:type="paragraph" w:customStyle="1" w:styleId="Pasdetitre">
    <w:name w:val="Pas de titre"/>
    <w:basedOn w:val="ATitredesection"/>
    <w:rsid w:val="00F222B8"/>
  </w:style>
  <w:style w:type="paragraph" w:customStyle="1" w:styleId="Objectifs">
    <w:name w:val="Objectifs"/>
    <w:basedOn w:val="Normal"/>
    <w:next w:val="Corpsdetexte"/>
    <w:rsid w:val="00F222B8"/>
    <w:pPr>
      <w:spacing w:before="240" w:after="220" w:line="220" w:lineRule="atLeast"/>
    </w:pPr>
  </w:style>
  <w:style w:type="character" w:styleId="Numrodepage">
    <w:name w:val="page number"/>
    <w:rsid w:val="00F222B8"/>
    <w:rPr>
      <w:rFonts w:ascii="Arial" w:hAnsi="Arial"/>
      <w:sz w:val="18"/>
    </w:rPr>
  </w:style>
  <w:style w:type="paragraph" w:customStyle="1" w:styleId="Donnespersonnelles">
    <w:name w:val="Données personnelles"/>
    <w:basedOn w:val="Corpsdetexte"/>
    <w:rsid w:val="00F222B8"/>
    <w:pPr>
      <w:spacing w:after="120" w:line="240" w:lineRule="exact"/>
      <w:ind w:left="-1080" w:right="1080"/>
    </w:pPr>
    <w:rPr>
      <w:i/>
      <w:spacing w:val="0"/>
      <w:sz w:val="22"/>
    </w:rPr>
  </w:style>
  <w:style w:type="paragraph" w:customStyle="1" w:styleId="Informationspersonnelles">
    <w:name w:val="Informations personnelles"/>
    <w:basedOn w:val="Russite"/>
    <w:next w:val="Russite"/>
    <w:rsid w:val="00F222B8"/>
    <w:pPr>
      <w:numPr>
        <w:numId w:val="0"/>
      </w:numPr>
      <w:spacing w:before="240"/>
      <w:ind w:left="245" w:hanging="245"/>
    </w:pPr>
  </w:style>
  <w:style w:type="paragraph" w:customStyle="1" w:styleId="ASous-titredesection">
    <w:name w:val="A_Sous-titre de section"/>
    <w:basedOn w:val="ATitredesection"/>
    <w:next w:val="Normal"/>
    <w:rsid w:val="00F222B8"/>
    <w:rPr>
      <w:color w:val="000080"/>
      <w:spacing w:val="0"/>
    </w:rPr>
  </w:style>
  <w:style w:type="paragraph" w:styleId="Corpsdetexte2">
    <w:name w:val="Body Text 2"/>
    <w:basedOn w:val="Normal"/>
    <w:rsid w:val="00F222B8"/>
    <w:rPr>
      <w:snapToGrid w:val="0"/>
      <w:color w:val="000000"/>
    </w:rPr>
  </w:style>
  <w:style w:type="character" w:styleId="Lienhypertexte">
    <w:name w:val="Hyperlink"/>
    <w:rsid w:val="00F222B8"/>
    <w:rPr>
      <w:color w:val="0000FF"/>
      <w:u w:val="single"/>
    </w:rPr>
  </w:style>
  <w:style w:type="paragraph" w:customStyle="1" w:styleId="Aexprience">
    <w:name w:val="A_expérience"/>
    <w:basedOn w:val="Normal"/>
    <w:rsid w:val="00F222B8"/>
    <w:pPr>
      <w:spacing w:before="120"/>
    </w:pPr>
    <w:rPr>
      <w:b/>
      <w:snapToGrid w:val="0"/>
      <w:color w:val="000000"/>
    </w:rPr>
  </w:style>
  <w:style w:type="character" w:styleId="Lienhypertextesuivivisit">
    <w:name w:val="FollowedHyperlink"/>
    <w:rsid w:val="00F222B8"/>
    <w:rPr>
      <w:color w:val="800080"/>
      <w:u w:val="single"/>
    </w:rPr>
  </w:style>
  <w:style w:type="paragraph" w:customStyle="1" w:styleId="Aliste">
    <w:name w:val="A_liste"/>
    <w:basedOn w:val="Normal"/>
    <w:rsid w:val="00F222B8"/>
    <w:pPr>
      <w:numPr>
        <w:numId w:val="2"/>
      </w:numPr>
    </w:pPr>
    <w:rPr>
      <w:snapToGrid w:val="0"/>
    </w:rPr>
  </w:style>
  <w:style w:type="paragraph" w:styleId="Corpsdetexte3">
    <w:name w:val="Body Text 3"/>
    <w:basedOn w:val="Normal"/>
    <w:rsid w:val="00F222B8"/>
    <w:rPr>
      <w:i/>
    </w:rPr>
  </w:style>
  <w:style w:type="paragraph" w:styleId="Retraitcorpsdetexte2">
    <w:name w:val="Body Text Indent 2"/>
    <w:basedOn w:val="Normal"/>
    <w:rsid w:val="00F222B8"/>
    <w:pPr>
      <w:ind w:left="1277"/>
    </w:pPr>
  </w:style>
  <w:style w:type="paragraph" w:customStyle="1" w:styleId="AComptence">
    <w:name w:val="A_Compétence"/>
    <w:basedOn w:val="Aexprience"/>
    <w:rsid w:val="00F222B8"/>
    <w:pPr>
      <w:spacing w:after="120"/>
    </w:pPr>
  </w:style>
  <w:style w:type="paragraph" w:customStyle="1" w:styleId="ATypeintervention">
    <w:name w:val="A_Type intervention"/>
    <w:basedOn w:val="ASous-titredesection"/>
    <w:next w:val="Normal"/>
    <w:rsid w:val="00F222B8"/>
  </w:style>
  <w:style w:type="paragraph" w:customStyle="1" w:styleId="ATypecomptence">
    <w:name w:val="A_Type compétence"/>
    <w:basedOn w:val="ASous-titredesection"/>
    <w:next w:val="Normal"/>
    <w:rsid w:val="00F222B8"/>
    <w:pPr>
      <w:pBdr>
        <w:top w:val="single" w:sz="4" w:space="1" w:color="auto"/>
      </w:pBdr>
    </w:pPr>
  </w:style>
  <w:style w:type="paragraph" w:customStyle="1" w:styleId="AExempledemission">
    <w:name w:val="A_Exemple de mission"/>
    <w:basedOn w:val="AComptence"/>
    <w:next w:val="Normal"/>
    <w:rsid w:val="00F222B8"/>
  </w:style>
  <w:style w:type="paragraph" w:customStyle="1" w:styleId="nb">
    <w:name w:val="nb"/>
    <w:basedOn w:val="Normal"/>
    <w:rsid w:val="00F222B8"/>
    <w:pPr>
      <w:spacing w:line="240" w:lineRule="exact"/>
    </w:pPr>
    <w:rPr>
      <w:b/>
      <w:i/>
      <w:sz w:val="24"/>
    </w:rPr>
  </w:style>
  <w:style w:type="paragraph" w:styleId="Retraitcorpsdetexte3">
    <w:name w:val="Body Text Indent 3"/>
    <w:basedOn w:val="Normal"/>
    <w:rsid w:val="00F222B8"/>
    <w:pPr>
      <w:tabs>
        <w:tab w:val="num" w:pos="1"/>
      </w:tabs>
      <w:spacing w:line="240" w:lineRule="exact"/>
      <w:ind w:left="1"/>
      <w:jc w:val="left"/>
    </w:pPr>
    <w:rPr>
      <w:rFonts w:cs="Arial"/>
      <w:b/>
      <w:bCs/>
      <w:i/>
      <w:iCs/>
    </w:rPr>
  </w:style>
  <w:style w:type="paragraph" w:customStyle="1" w:styleId="Retraitcorpsdetexte31">
    <w:name w:val="Retrait corps de texte 31"/>
    <w:basedOn w:val="Normal"/>
    <w:rsid w:val="00F222B8"/>
    <w:pPr>
      <w:tabs>
        <w:tab w:val="left" w:pos="2127"/>
      </w:tabs>
      <w:overflowPunct w:val="0"/>
      <w:autoSpaceDE w:val="0"/>
      <w:autoSpaceDN w:val="0"/>
      <w:adjustRightInd w:val="0"/>
      <w:spacing w:line="240" w:lineRule="exact"/>
      <w:ind w:left="2127" w:hanging="2127"/>
      <w:textAlignment w:val="baseline"/>
    </w:pPr>
    <w:rPr>
      <w:rFonts w:ascii="Times New Roman" w:hAnsi="Times New Roman"/>
      <w:sz w:val="22"/>
      <w:szCs w:val="22"/>
    </w:rPr>
  </w:style>
  <w:style w:type="paragraph" w:customStyle="1" w:styleId="Retrait1">
    <w:name w:val="Retrait 1"/>
    <w:basedOn w:val="Normal"/>
    <w:rsid w:val="00260E0A"/>
    <w:pPr>
      <w:spacing w:before="30" w:after="30"/>
      <w:ind w:left="851" w:hanging="284"/>
      <w:jc w:val="left"/>
    </w:pPr>
    <w:rPr>
      <w:rFonts w:ascii="Times New Roman" w:hAnsi="Times New Roman"/>
      <w:sz w:val="24"/>
    </w:rPr>
  </w:style>
  <w:style w:type="paragraph" w:styleId="Textedebulles">
    <w:name w:val="Balloon Text"/>
    <w:basedOn w:val="Normal"/>
    <w:semiHidden/>
    <w:rsid w:val="00C76BFC"/>
    <w:rPr>
      <w:rFonts w:ascii="Tahoma" w:hAnsi="Tahoma" w:cs="Tahoma"/>
      <w:sz w:val="16"/>
      <w:szCs w:val="16"/>
    </w:rPr>
  </w:style>
  <w:style w:type="paragraph" w:customStyle="1" w:styleId="CarCarCarCarCarCarCarCar">
    <w:name w:val="Car Car Car Car Car Car Car Car"/>
    <w:basedOn w:val="Normal"/>
    <w:rsid w:val="00E65314"/>
    <w:pPr>
      <w:spacing w:after="160" w:line="240" w:lineRule="exact"/>
      <w:jc w:val="left"/>
    </w:pPr>
    <w:rPr>
      <w:rFonts w:ascii="Verdana" w:hAnsi="Verdana"/>
      <w:sz w:val="24"/>
      <w:szCs w:val="24"/>
    </w:rPr>
  </w:style>
  <w:style w:type="paragraph" w:customStyle="1" w:styleId="Lang-Form">
    <w:name w:val="Lang-Form"/>
    <w:basedOn w:val="Normal"/>
    <w:link w:val="Lang-FormCar"/>
    <w:qFormat/>
    <w:rsid w:val="00B90CC7"/>
    <w:pPr>
      <w:ind w:left="1410" w:hanging="1410"/>
    </w:pPr>
    <w:rPr>
      <w:rFonts w:ascii="Calibri" w:hAnsi="Calibri"/>
      <w:sz w:val="24"/>
      <w:szCs w:val="24"/>
    </w:rPr>
  </w:style>
  <w:style w:type="character" w:customStyle="1" w:styleId="Lang-FormCar">
    <w:name w:val="Lang-Form Car"/>
    <w:link w:val="Lang-Form"/>
    <w:rsid w:val="00B90CC7"/>
    <w:rPr>
      <w:rFonts w:ascii="Calibri" w:hAnsi="Calibri"/>
      <w:sz w:val="24"/>
      <w:szCs w:val="24"/>
      <w:lang w:val="fr-FR" w:eastAsia="fr-FR" w:bidi="ar-SA"/>
    </w:rPr>
  </w:style>
  <w:style w:type="paragraph" w:customStyle="1" w:styleId="CompTech">
    <w:name w:val="Comp Tech"/>
    <w:basedOn w:val="Normal"/>
    <w:rsid w:val="00040236"/>
    <w:pPr>
      <w:tabs>
        <w:tab w:val="left" w:pos="3402"/>
      </w:tabs>
      <w:jc w:val="left"/>
    </w:pPr>
    <w:rPr>
      <w:rFonts w:ascii="Calibri" w:hAnsi="Calibri"/>
      <w:sz w:val="22"/>
      <w:szCs w:val="22"/>
    </w:rPr>
  </w:style>
  <w:style w:type="paragraph" w:customStyle="1" w:styleId="Env">
    <w:name w:val="Env"/>
    <w:basedOn w:val="Normal"/>
    <w:link w:val="EnvCar"/>
    <w:qFormat/>
    <w:rsid w:val="0097638B"/>
    <w:rPr>
      <w:rFonts w:ascii="Calibri" w:hAnsi="Calibri"/>
      <w:i/>
      <w:sz w:val="24"/>
      <w:szCs w:val="24"/>
    </w:rPr>
  </w:style>
  <w:style w:type="character" w:customStyle="1" w:styleId="EnvCar">
    <w:name w:val="Env Car"/>
    <w:link w:val="Env"/>
    <w:rsid w:val="0097638B"/>
    <w:rPr>
      <w:rFonts w:ascii="Calibri" w:hAnsi="Calibri"/>
      <w:i/>
      <w:sz w:val="24"/>
      <w:szCs w:val="24"/>
      <w:lang w:val="fr-FR" w:eastAsia="fr-FR" w:bidi="ar-SA"/>
    </w:rPr>
  </w:style>
  <w:style w:type="paragraph" w:customStyle="1" w:styleId="NormalArial">
    <w:name w:val="Normal + Arial"/>
    <w:basedOn w:val="Normal"/>
    <w:rsid w:val="003D78E3"/>
    <w:pPr>
      <w:numPr>
        <w:numId w:val="3"/>
      </w:numPr>
      <w:ind w:right="-569"/>
      <w:jc w:val="left"/>
    </w:pPr>
  </w:style>
  <w:style w:type="paragraph" w:customStyle="1" w:styleId="Normaldocumenttableau">
    <w:name w:val="Normal document tableau"/>
    <w:basedOn w:val="Normal"/>
    <w:rsid w:val="00F46804"/>
    <w:pPr>
      <w:suppressAutoHyphens/>
      <w:spacing w:before="60" w:after="60"/>
      <w:jc w:val="left"/>
    </w:pPr>
    <w:rPr>
      <w:rFonts w:cs="Arial"/>
      <w:color w:val="000000"/>
      <w:szCs w:val="24"/>
      <w:lang w:eastAsia="ar-SA"/>
    </w:rPr>
  </w:style>
  <w:style w:type="character" w:customStyle="1" w:styleId="A0">
    <w:name w:val="A0"/>
    <w:rsid w:val="007868F3"/>
    <w:rPr>
      <w:rFonts w:ascii="Sansation" w:eastAsia="Sansation" w:hAnsi="Sansation" w:cs="Sansation"/>
      <w:color w:val="000000"/>
      <w:sz w:val="20"/>
      <w:szCs w:val="20"/>
    </w:rPr>
  </w:style>
  <w:style w:type="character" w:customStyle="1" w:styleId="A5">
    <w:name w:val="A5"/>
    <w:rsid w:val="007868F3"/>
    <w:rPr>
      <w:rFonts w:ascii="Sansation" w:eastAsia="Sansation" w:hAnsi="Sansation" w:cs="Sansation"/>
      <w:color w:val="000000"/>
      <w:sz w:val="18"/>
      <w:szCs w:val="18"/>
    </w:rPr>
  </w:style>
  <w:style w:type="character" w:customStyle="1" w:styleId="A4">
    <w:name w:val="A4"/>
    <w:rsid w:val="007868F3"/>
    <w:rPr>
      <w:rFonts w:ascii="Sansation" w:eastAsia="Sansation" w:hAnsi="Sansation" w:cs="Sansation"/>
      <w:b/>
      <w:bCs/>
      <w:color w:val="000000"/>
      <w:sz w:val="22"/>
      <w:szCs w:val="22"/>
    </w:rPr>
  </w:style>
  <w:style w:type="character" w:customStyle="1" w:styleId="A7">
    <w:name w:val="A7"/>
    <w:rsid w:val="007868F3"/>
    <w:rPr>
      <w:rFonts w:ascii="Sansation" w:eastAsia="Sansation" w:hAnsi="Sansation" w:cs="Sansation"/>
      <w:color w:val="000000"/>
      <w:sz w:val="18"/>
      <w:szCs w:val="18"/>
      <w:u w:val="single"/>
    </w:rPr>
  </w:style>
  <w:style w:type="character" w:customStyle="1" w:styleId="A6">
    <w:name w:val="A6"/>
    <w:rsid w:val="003738C0"/>
    <w:rPr>
      <w:rFonts w:ascii="Sansation" w:eastAsia="Sansation" w:hAnsi="Sansation" w:cs="Sansation"/>
      <w:color w:val="000000"/>
      <w:sz w:val="20"/>
      <w:szCs w:val="20"/>
      <w:u w:val="single"/>
    </w:rPr>
  </w:style>
  <w:style w:type="paragraph" w:styleId="Explorateurdedocuments">
    <w:name w:val="Document Map"/>
    <w:basedOn w:val="Normal"/>
    <w:semiHidden/>
    <w:rsid w:val="00035199"/>
    <w:pPr>
      <w:shd w:val="clear" w:color="auto" w:fill="000080"/>
    </w:pPr>
    <w:rPr>
      <w:rFonts w:ascii="Tahoma" w:hAnsi="Tahoma" w:cs="Tahoma"/>
    </w:rPr>
  </w:style>
  <w:style w:type="paragraph" w:customStyle="1" w:styleId="HCVNEWtextetitre">
    <w:name w:val="H CVNEW texte titre"/>
    <w:basedOn w:val="Normal"/>
    <w:link w:val="HCVNEWtextetitreCar"/>
    <w:rsid w:val="00695764"/>
    <w:pPr>
      <w:widowControl w:val="0"/>
      <w:tabs>
        <w:tab w:val="left" w:pos="2268"/>
      </w:tabs>
      <w:suppressAutoHyphens/>
      <w:spacing w:before="120" w:after="240" w:line="240" w:lineRule="exact"/>
      <w:ind w:left="284"/>
    </w:pPr>
    <w:rPr>
      <w:rFonts w:ascii="Calibri" w:eastAsia="Calibri" w:hAnsi="Calibri"/>
      <w:bCs/>
      <w:kern w:val="1"/>
      <w:szCs w:val="22"/>
      <w:lang w:eastAsia="ar-SA"/>
    </w:rPr>
  </w:style>
  <w:style w:type="paragraph" w:customStyle="1" w:styleId="HCVNEWpuce">
    <w:name w:val="H CVNEW puce"/>
    <w:basedOn w:val="Normal"/>
    <w:link w:val="HCVNEWpuceCar"/>
    <w:rsid w:val="00695764"/>
    <w:pPr>
      <w:tabs>
        <w:tab w:val="left" w:pos="992"/>
      </w:tabs>
      <w:suppressAutoHyphens/>
      <w:spacing w:before="120" w:line="200" w:lineRule="exact"/>
    </w:pPr>
    <w:rPr>
      <w:rFonts w:ascii="Calibri" w:eastAsia="Calibri" w:hAnsi="Calibri"/>
      <w:color w:val="000000"/>
      <w:lang w:eastAsia="ar-SA"/>
    </w:rPr>
  </w:style>
  <w:style w:type="paragraph" w:styleId="Paragraphedeliste">
    <w:name w:val="List Paragraph"/>
    <w:basedOn w:val="Normal"/>
    <w:link w:val="ParagraphedelisteCar"/>
    <w:uiPriority w:val="34"/>
    <w:qFormat/>
    <w:rsid w:val="00695764"/>
    <w:pPr>
      <w:spacing w:line="276" w:lineRule="auto"/>
      <w:ind w:left="720"/>
      <w:contextualSpacing/>
      <w:jc w:val="left"/>
    </w:pPr>
    <w:rPr>
      <w:rFonts w:ascii="BerkeleyOldEFOP-Book" w:eastAsia="BerkeleyOldEFOP-Book" w:hAnsi="BerkeleyOldEFOP-Book"/>
      <w:sz w:val="22"/>
      <w:szCs w:val="22"/>
      <w:lang w:eastAsia="en-US"/>
    </w:rPr>
  </w:style>
  <w:style w:type="paragraph" w:customStyle="1" w:styleId="HCVNEWFO-TECH">
    <w:name w:val="H CVNEW FO-TECH"/>
    <w:basedOn w:val="Normal"/>
    <w:link w:val="HCVNEWFO-TECHCar"/>
    <w:rsid w:val="00695764"/>
    <w:pPr>
      <w:widowControl w:val="0"/>
      <w:tabs>
        <w:tab w:val="left" w:pos="2268"/>
      </w:tabs>
      <w:suppressAutoHyphens/>
      <w:spacing w:before="120" w:after="120" w:line="200" w:lineRule="exact"/>
      <w:ind w:firstLine="397"/>
    </w:pPr>
    <w:rPr>
      <w:rFonts w:ascii="Calibri" w:eastAsia="Calibri" w:hAnsi="Calibri"/>
      <w:bCs/>
      <w:color w:val="000000"/>
      <w:kern w:val="1"/>
      <w:szCs w:val="22"/>
      <w:lang w:eastAsia="ar-SA"/>
    </w:rPr>
  </w:style>
  <w:style w:type="character" w:customStyle="1" w:styleId="WW8Num18z0">
    <w:name w:val="WW8Num18z0"/>
    <w:rsid w:val="006552D1"/>
    <w:rPr>
      <w:rFonts w:ascii="Symbol" w:hAnsi="Symbol"/>
    </w:rPr>
  </w:style>
  <w:style w:type="paragraph" w:customStyle="1" w:styleId="CVNormal">
    <w:name w:val="CV Normal"/>
    <w:basedOn w:val="Normal"/>
    <w:rsid w:val="00673218"/>
    <w:pPr>
      <w:suppressAutoHyphens/>
      <w:ind w:left="113" w:right="113"/>
      <w:jc w:val="left"/>
    </w:pPr>
    <w:rPr>
      <w:rFonts w:ascii="Arial Narrow" w:hAnsi="Arial Narrow"/>
      <w:lang w:eastAsia="ar-SA"/>
    </w:rPr>
  </w:style>
  <w:style w:type="paragraph" w:customStyle="1" w:styleId="Paragraphedeliste1">
    <w:name w:val="Paragraphe de liste1"/>
    <w:basedOn w:val="Normal"/>
    <w:rsid w:val="00D112E7"/>
    <w:pPr>
      <w:spacing w:after="200" w:line="276" w:lineRule="auto"/>
      <w:ind w:left="720"/>
      <w:jc w:val="left"/>
    </w:pPr>
    <w:rPr>
      <w:rFonts w:ascii="Calibri" w:hAnsi="Calibri"/>
      <w:sz w:val="22"/>
      <w:szCs w:val="22"/>
      <w:lang w:eastAsia="en-US"/>
    </w:rPr>
  </w:style>
  <w:style w:type="character" w:customStyle="1" w:styleId="En-tteCar">
    <w:name w:val="En-tête Car"/>
    <w:link w:val="En-tte"/>
    <w:rsid w:val="002A1272"/>
    <w:rPr>
      <w:rFonts w:ascii="Arial" w:hAnsi="Arial"/>
    </w:rPr>
  </w:style>
  <w:style w:type="character" w:customStyle="1" w:styleId="ParagraphedelisteCar">
    <w:name w:val="Paragraphe de liste Car"/>
    <w:basedOn w:val="Policepardfaut"/>
    <w:link w:val="Paragraphedeliste"/>
    <w:rsid w:val="000F7A53"/>
    <w:rPr>
      <w:rFonts w:ascii="BerkeleyOldEFOP-Book" w:eastAsia="BerkeleyOldEFOP-Book" w:hAnsi="BerkeleyOldEFOP-Book"/>
      <w:sz w:val="22"/>
      <w:szCs w:val="22"/>
      <w:lang w:eastAsia="en-US"/>
    </w:rPr>
  </w:style>
  <w:style w:type="paragraph" w:customStyle="1" w:styleId="HCVNEWSOCIETE">
    <w:name w:val="H CVNEW SOCIETE"/>
    <w:basedOn w:val="Normal"/>
    <w:next w:val="Normal"/>
    <w:rsid w:val="000F7A53"/>
    <w:pPr>
      <w:keepNext/>
      <w:pBdr>
        <w:top w:val="single" w:sz="6" w:space="3" w:color="FFFFFF"/>
        <w:left w:val="single" w:sz="6" w:space="4" w:color="FFFFFF"/>
        <w:bottom w:val="single" w:sz="8" w:space="3" w:color="991417"/>
        <w:right w:val="single" w:sz="6" w:space="0" w:color="FFFFFF"/>
      </w:pBdr>
      <w:tabs>
        <w:tab w:val="right" w:pos="9072"/>
      </w:tabs>
      <w:spacing w:before="360" w:after="240"/>
      <w:ind w:left="284"/>
      <w:jc w:val="left"/>
    </w:pPr>
    <w:rPr>
      <w:rFonts w:ascii="Gill Sans MT" w:hAnsi="Gill Sans MT"/>
      <w:b/>
      <w:color w:val="991417"/>
      <w:sz w:val="22"/>
    </w:rPr>
  </w:style>
  <w:style w:type="paragraph" w:customStyle="1" w:styleId="HCVNEWenvironnement">
    <w:name w:val="H CVNEW environnement"/>
    <w:basedOn w:val="Normal"/>
    <w:next w:val="HCVNEWSOCIETE"/>
    <w:rsid w:val="000F7A53"/>
    <w:pPr>
      <w:tabs>
        <w:tab w:val="left" w:pos="2127"/>
      </w:tabs>
      <w:spacing w:before="240"/>
      <w:ind w:firstLine="284"/>
    </w:pPr>
    <w:rPr>
      <w:rFonts w:ascii="Calibri" w:hAnsi="Calibri" w:cs="Calibri"/>
      <w:b/>
      <w:color w:val="61287A"/>
      <w:szCs w:val="22"/>
    </w:rPr>
  </w:style>
  <w:style w:type="character" w:customStyle="1" w:styleId="HCVNEWpuceCar">
    <w:name w:val="H CVNEW puce Car"/>
    <w:basedOn w:val="Policepardfaut"/>
    <w:link w:val="HCVNEWpuce"/>
    <w:rsid w:val="000F7A53"/>
    <w:rPr>
      <w:rFonts w:ascii="Calibri" w:eastAsia="Calibri" w:hAnsi="Calibri"/>
      <w:color w:val="000000"/>
      <w:lang w:eastAsia="ar-SA"/>
    </w:rPr>
  </w:style>
  <w:style w:type="character" w:customStyle="1" w:styleId="HCVNEWtextetitreCar">
    <w:name w:val="H CVNEW texte titre Car"/>
    <w:basedOn w:val="Policepardfaut"/>
    <w:link w:val="HCVNEWtextetitre"/>
    <w:rsid w:val="000F7A53"/>
    <w:rPr>
      <w:rFonts w:ascii="Calibri" w:eastAsia="Calibri" w:hAnsi="Calibri"/>
      <w:bCs/>
      <w:kern w:val="1"/>
      <w:szCs w:val="22"/>
      <w:lang w:eastAsia="ar-SA"/>
    </w:rPr>
  </w:style>
  <w:style w:type="character" w:customStyle="1" w:styleId="HCVNEWFO-TECHCar">
    <w:name w:val="H CVNEW FO-TECH Car"/>
    <w:basedOn w:val="Policepardfaut"/>
    <w:link w:val="HCVNEWFO-TECH"/>
    <w:rsid w:val="00740C5B"/>
    <w:rPr>
      <w:rFonts w:ascii="Calibri" w:eastAsia="Calibri" w:hAnsi="Calibri"/>
      <w:bCs/>
      <w:color w:val="000000"/>
      <w:kern w:val="1"/>
      <w:szCs w:val="22"/>
      <w:lang w:eastAsia="ar-SA"/>
    </w:rPr>
  </w:style>
  <w:style w:type="paragraph" w:customStyle="1" w:styleId="HCVNEWtexte">
    <w:name w:val="H CVNEW texte"/>
    <w:basedOn w:val="HCVNEWtextetitre"/>
    <w:next w:val="HCVNEWpuce"/>
    <w:link w:val="HCVNEWtexteCar"/>
    <w:qFormat/>
    <w:rsid w:val="00DE7818"/>
    <w:rPr>
      <w:rFonts w:asciiTheme="minorHAnsi" w:eastAsia="BerkeleyOldEFOP-Book" w:hAnsiTheme="minorHAnsi"/>
    </w:rPr>
  </w:style>
  <w:style w:type="character" w:customStyle="1" w:styleId="HCVNEWtexteCar">
    <w:name w:val="H CVNEW texte Car"/>
    <w:basedOn w:val="HCVNEWtextetitreCar"/>
    <w:link w:val="HCVNEWtexte"/>
    <w:rsid w:val="00DE7818"/>
    <w:rPr>
      <w:rFonts w:asciiTheme="minorHAnsi" w:eastAsia="BerkeleyOldEFOP-Book" w:hAnsiTheme="minorHAnsi"/>
      <w:bCs/>
      <w:kern w:val="1"/>
      <w:szCs w:val="22"/>
      <w:lang w:eastAsia="ar-SA"/>
    </w:rPr>
  </w:style>
  <w:style w:type="paragraph" w:customStyle="1" w:styleId="HCVNEWsoustitre">
    <w:name w:val="H CVNEW sous titre"/>
    <w:basedOn w:val="Normal"/>
    <w:next w:val="HCVNEWtextetitre"/>
    <w:link w:val="HCVNEWsoustitreCar"/>
    <w:rsid w:val="00BD6458"/>
    <w:pPr>
      <w:keepNext/>
      <w:tabs>
        <w:tab w:val="left" w:pos="1418"/>
        <w:tab w:val="right" w:pos="9072"/>
      </w:tabs>
      <w:spacing w:before="240"/>
      <w:ind w:left="1418" w:hanging="1134"/>
    </w:pPr>
    <w:rPr>
      <w:rFonts w:ascii="Gill Sans MT" w:hAnsi="Gill Sans MT"/>
      <w:b/>
      <w:color w:val="61287A"/>
    </w:rPr>
  </w:style>
  <w:style w:type="character" w:customStyle="1" w:styleId="HCVNEWsoustitreCar">
    <w:name w:val="H CVNEW sous titre Car"/>
    <w:basedOn w:val="Policepardfaut"/>
    <w:link w:val="HCVNEWsoustitre"/>
    <w:rsid w:val="00BD6458"/>
    <w:rPr>
      <w:rFonts w:ascii="Gill Sans MT" w:hAnsi="Gill Sans MT"/>
      <w:b/>
      <w:color w:val="61287A"/>
    </w:rPr>
  </w:style>
  <w:style w:type="paragraph" w:customStyle="1" w:styleId="CVTableauligneformation">
    <w:name w:val="CV Tableau ligne formation"/>
    <w:basedOn w:val="Normal"/>
    <w:rsid w:val="00426375"/>
    <w:pPr>
      <w:keepLines/>
      <w:jc w:val="left"/>
    </w:pPr>
    <w:rPr>
      <w:rFonts w:ascii="Times New Roman" w:hAnsi="Times New Roman"/>
      <w:bCs/>
      <w:sz w:val="24"/>
      <w:szCs w:val="24"/>
    </w:rPr>
  </w:style>
  <w:style w:type="paragraph" w:customStyle="1" w:styleId="CVEnvironnement">
    <w:name w:val="CV Environnement"/>
    <w:basedOn w:val="Normal"/>
    <w:rsid w:val="00C00931"/>
    <w:pPr>
      <w:keepNext/>
      <w:keepLines/>
      <w:spacing w:after="240"/>
    </w:pPr>
    <w:rPr>
      <w:rFonts w:ascii="Times New Roman" w:hAnsi="Times New Roman"/>
      <w:i/>
      <w:sz w:val="24"/>
      <w:szCs w:val="24"/>
    </w:rPr>
  </w:style>
  <w:style w:type="paragraph" w:customStyle="1" w:styleId="CVEnumration1">
    <w:name w:val="CV Enumération 1"/>
    <w:basedOn w:val="Normal"/>
    <w:rsid w:val="00F3233D"/>
    <w:pPr>
      <w:keepLines/>
      <w:numPr>
        <w:numId w:val="4"/>
      </w:numPr>
    </w:pPr>
    <w:rPr>
      <w:rFonts w:ascii="Times New Roman" w:hAnsi="Times New Roman"/>
      <w:bCs/>
      <w:sz w:val="24"/>
      <w:szCs w:val="24"/>
    </w:rPr>
  </w:style>
  <w:style w:type="paragraph" w:customStyle="1" w:styleId="DescriptionMission">
    <w:name w:val="DescriptionMission"/>
    <w:basedOn w:val="Normal"/>
    <w:rsid w:val="009813C6"/>
    <w:pPr>
      <w:tabs>
        <w:tab w:val="left" w:pos="227"/>
        <w:tab w:val="left" w:pos="615"/>
      </w:tabs>
      <w:suppressAutoHyphens/>
      <w:overflowPunct w:val="0"/>
      <w:autoSpaceDE w:val="0"/>
      <w:spacing w:before="57"/>
      <w:ind w:left="300"/>
      <w:jc w:val="left"/>
      <w:textAlignment w:val="baseline"/>
    </w:pPr>
    <w:rPr>
      <w:sz w:val="22"/>
      <w:szCs w:val="24"/>
      <w:lang w:eastAsia="ar-SA"/>
    </w:rPr>
  </w:style>
  <w:style w:type="paragraph" w:customStyle="1" w:styleId="CVDure">
    <w:name w:val="CV Durée"/>
    <w:basedOn w:val="Normal"/>
    <w:rsid w:val="000A6BE2"/>
    <w:pPr>
      <w:keepNext/>
      <w:keepLines/>
    </w:pPr>
    <w:rPr>
      <w:rFonts w:ascii="Times New Roman" w:hAnsi="Times New Roman"/>
      <w:bCs/>
      <w:i/>
      <w:sz w:val="24"/>
      <w:szCs w:val="24"/>
    </w:rPr>
  </w:style>
  <w:style w:type="paragraph" w:customStyle="1" w:styleId="CharChar1CharCharCharCharCharCharChar">
    <w:name w:val="Char Char1 Char Char Char Char Char Char Char"/>
    <w:basedOn w:val="Normal"/>
    <w:rsid w:val="00695DA6"/>
    <w:pPr>
      <w:spacing w:after="160" w:line="240" w:lineRule="exact"/>
      <w:jc w:val="left"/>
    </w:pPr>
    <w:rPr>
      <w:rFonts w:ascii="Verdana" w:hAnsi="Verdana"/>
      <w:sz w:val="24"/>
      <w:szCs w:val="24"/>
    </w:rPr>
  </w:style>
  <w:style w:type="character" w:customStyle="1" w:styleId="CVexpriencessignificativessocit">
    <w:name w:val="CV expériences significatives (société)"/>
    <w:rsid w:val="00695DA6"/>
    <w:rPr>
      <w:caps/>
      <w:color w:val="0061AA"/>
      <w:kern w:val="28"/>
      <w:sz w:val="28"/>
    </w:rPr>
  </w:style>
  <w:style w:type="paragraph" w:customStyle="1" w:styleId="Norm">
    <w:name w:val="Norm"/>
    <w:basedOn w:val="Normal"/>
    <w:rsid w:val="00695DA6"/>
    <w:pPr>
      <w:ind w:left="-141"/>
      <w:jc w:val="left"/>
    </w:pPr>
    <w:rPr>
      <w:color w:val="808080"/>
    </w:rPr>
  </w:style>
  <w:style w:type="paragraph" w:customStyle="1" w:styleId="CharChar1CharCharCharCharCharCharChar1">
    <w:name w:val="Char Char1 Char Char Char Char Char Char Char1"/>
    <w:basedOn w:val="Normal"/>
    <w:rsid w:val="00897568"/>
    <w:pPr>
      <w:spacing w:after="160" w:line="240" w:lineRule="exact"/>
      <w:jc w:val="left"/>
    </w:pPr>
    <w:rPr>
      <w:rFonts w:ascii="Verdana" w:hAnsi="Verdana"/>
      <w:sz w:val="24"/>
      <w:szCs w:val="24"/>
    </w:rPr>
  </w:style>
  <w:style w:type="paragraph" w:customStyle="1" w:styleId="Notm">
    <w:name w:val="Notm"/>
    <w:basedOn w:val="Normal"/>
    <w:rsid w:val="00C57EB2"/>
    <w:rPr>
      <w:lang w:val="en-US"/>
    </w:rPr>
  </w:style>
  <w:style w:type="paragraph" w:styleId="Listepuces">
    <w:name w:val="List Bullet"/>
    <w:basedOn w:val="Normal"/>
    <w:unhideWhenUsed/>
    <w:rsid w:val="004A3563"/>
    <w:pPr>
      <w:numPr>
        <w:numId w:val="5"/>
      </w:numPr>
      <w:contextualSpacing/>
    </w:pPr>
  </w:style>
  <w:style w:type="paragraph" w:customStyle="1" w:styleId="CVTitrethme">
    <w:name w:val="CV Titre thème"/>
    <w:basedOn w:val="Normal"/>
    <w:rsid w:val="004A3563"/>
    <w:pPr>
      <w:pBdr>
        <w:bottom w:val="single" w:sz="12" w:space="0" w:color="666699"/>
      </w:pBdr>
      <w:spacing w:before="480"/>
      <w:jc w:val="left"/>
    </w:pPr>
    <w:rPr>
      <w:rFonts w:ascii="Arial Narrow" w:hAnsi="Arial Narrow" w:cs="Arial"/>
      <w:b/>
      <w:color w:val="993366"/>
      <w:sz w:val="24"/>
      <w:szCs w:val="22"/>
    </w:rPr>
  </w:style>
  <w:style w:type="character" w:customStyle="1" w:styleId="Normalenexergue">
    <w:name w:val="Normal en exergue"/>
    <w:rsid w:val="006336A8"/>
    <w:rPr>
      <w:b/>
      <w:i/>
      <w:color w:val="666699"/>
      <w:sz w:val="24"/>
      <w:szCs w:val="24"/>
    </w:rPr>
  </w:style>
  <w:style w:type="paragraph" w:customStyle="1" w:styleId="CVDomainesdecomptence">
    <w:name w:val="CV Domaines de compétence"/>
    <w:basedOn w:val="Normal"/>
    <w:rsid w:val="0028711B"/>
    <w:pPr>
      <w:jc w:val="center"/>
    </w:pPr>
    <w:rPr>
      <w:rFonts w:ascii="Arial Narrow" w:hAnsi="Arial Narrow" w:cs="Arial"/>
      <w:b/>
      <w:i/>
      <w:iCs/>
      <w:color w:val="666699"/>
      <w:sz w:val="28"/>
      <w:szCs w:val="22"/>
    </w:rPr>
  </w:style>
  <w:style w:type="paragraph" w:customStyle="1" w:styleId="Normalindent">
    <w:name w:val="Normal indenté"/>
    <w:basedOn w:val="Normal"/>
    <w:rsid w:val="008256C8"/>
    <w:pPr>
      <w:spacing w:before="120"/>
      <w:ind w:left="567"/>
    </w:pPr>
    <w:rPr>
      <w:rFonts w:ascii="Arial Narrow" w:hAnsi="Arial Narrow" w:cs="Arial"/>
      <w:sz w:val="22"/>
      <w:szCs w:val="22"/>
    </w:rPr>
  </w:style>
  <w:style w:type="paragraph" w:customStyle="1" w:styleId="CVTitreExprience">
    <w:name w:val="CV Titre Expérience"/>
    <w:basedOn w:val="Normal"/>
    <w:rsid w:val="00510155"/>
    <w:pPr>
      <w:shd w:val="clear" w:color="FFCC00" w:fill="666699"/>
      <w:tabs>
        <w:tab w:val="left" w:pos="2268"/>
      </w:tabs>
      <w:spacing w:before="120"/>
      <w:jc w:val="left"/>
    </w:pPr>
    <w:rPr>
      <w:rFonts w:ascii="Arial Narrow" w:hAnsi="Arial Narrow" w:cs="Arial"/>
      <w:color w:val="FFFFFF"/>
      <w:sz w:val="22"/>
      <w:szCs w:val="22"/>
    </w:rPr>
  </w:style>
  <w:style w:type="paragraph" w:customStyle="1" w:styleId="Default">
    <w:name w:val="Default"/>
    <w:rsid w:val="00B32B1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77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7ffb62-9b02-4cd7-bd80-9a8fdab00e64" xsi:nil="true"/>
    <lcf76f155ced4ddcb4097134ff3c332f xmlns="33eab758-cdaa-486d-9a1a-7ec748ea826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0B82A46FBAC5B4386324B7169989A55" ma:contentTypeVersion="12" ma:contentTypeDescription="Crée un document." ma:contentTypeScope="" ma:versionID="aebcd07956381cee842e48e46e8a1b32">
  <xsd:schema xmlns:xsd="http://www.w3.org/2001/XMLSchema" xmlns:xs="http://www.w3.org/2001/XMLSchema" xmlns:p="http://schemas.microsoft.com/office/2006/metadata/properties" xmlns:ns2="33eab758-cdaa-486d-9a1a-7ec748ea8260" xmlns:ns3="8e7ffb62-9b02-4cd7-bd80-9a8fdab00e64" targetNamespace="http://schemas.microsoft.com/office/2006/metadata/properties" ma:root="true" ma:fieldsID="2b65f8daa905b1e4b6dd5679da6cadba" ns2:_="" ns3:_="">
    <xsd:import namespace="33eab758-cdaa-486d-9a1a-7ec748ea8260"/>
    <xsd:import namespace="8e7ffb62-9b02-4cd7-bd80-9a8fdab00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ab758-cdaa-486d-9a1a-7ec748ea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7ffb62-9b02-4cd7-bd80-9a8fdab00e6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758014-c1c3-46b5-b61c-9ec43a8ffcbf}" ma:internalName="TaxCatchAll" ma:showField="CatchAllData" ma:web="8e7ffb62-9b02-4cd7-bd80-9a8fdab00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E72AB4-FDB2-48D2-9730-965A92F2FE5A}">
  <ds:schemaRefs>
    <ds:schemaRef ds:uri="http://schemas.microsoft.com/office/2006/metadata/properties"/>
    <ds:schemaRef ds:uri="http://schemas.microsoft.com/office/infopath/2007/PartnerControls"/>
    <ds:schemaRef ds:uri="8e7ffb62-9b02-4cd7-bd80-9a8fdab00e64"/>
    <ds:schemaRef ds:uri="33eab758-cdaa-486d-9a1a-7ec748ea8260"/>
  </ds:schemaRefs>
</ds:datastoreItem>
</file>

<file path=customXml/itemProps2.xml><?xml version="1.0" encoding="utf-8"?>
<ds:datastoreItem xmlns:ds="http://schemas.openxmlformats.org/officeDocument/2006/customXml" ds:itemID="{F15DDE59-C876-4442-BC32-DC922B812CD6}">
  <ds:schemaRefs>
    <ds:schemaRef ds:uri="http://schemas.openxmlformats.org/officeDocument/2006/bibliography"/>
  </ds:schemaRefs>
</ds:datastoreItem>
</file>

<file path=customXml/itemProps3.xml><?xml version="1.0" encoding="utf-8"?>
<ds:datastoreItem xmlns:ds="http://schemas.openxmlformats.org/officeDocument/2006/customXml" ds:itemID="{E5D9AD4F-6357-4015-8470-E4D34C68B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ab758-cdaa-486d-9a1a-7ec748ea8260"/>
    <ds:schemaRef ds:uri="8e7ffb62-9b02-4cd7-bd80-9a8fdab00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515844-8966-47A9-B758-9457995B77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1086</Words>
  <Characters>5976</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Curriculum Vitae de style professionnel</vt:lpstr>
    </vt:vector>
  </TitlesOfParts>
  <Company>TILENCIA</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DMU - Technicien Support International N2</dc:title>
  <dc:creator/>
  <cp:lastModifiedBy>David Vandenborght</cp:lastModifiedBy>
  <cp:revision>8</cp:revision>
  <cp:lastPrinted>2023-02-22T10:09:00Z</cp:lastPrinted>
  <dcterms:created xsi:type="dcterms:W3CDTF">2026-07-30T11:26:00Z</dcterms:created>
  <dcterms:modified xsi:type="dcterms:W3CDTF">2026-07-31T14:06:00Z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0x01010040B82A46FBAC5B4386324B7169989A55</vt:lpwstr>
  </property>
</Properties>
</file>