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3E08E" w14:textId="77777777" w:rsidR="000C4F02" w:rsidRDefault="00464D5F">
      <w:pPr>
        <w:ind w:right="-1"/>
        <w:jc w:val="right"/>
        <w:outlineLvl w:val="0"/>
        <w:rPr>
          <w:rFonts w:cs="Arial"/>
          <w:b/>
          <w:bCs/>
          <w:noProof/>
          <w:color w:val="808080"/>
          <w:sz w:val="22"/>
          <w:szCs w:val="22"/>
        </w:rPr>
      </w:pPr>
      <w:r>
        <w:rPr>
          <w:rFonts w:cs="Arial"/>
          <w:b/>
          <w:bCs/>
          <w:noProof/>
          <w:color w:val="808080"/>
          <w:sz w:val="22"/>
          <w:szCs w:val="22"/>
        </w:rPr>
        <mc:AlternateContent>
          <mc:Choice Requires="wps">
            <w:drawing>
              <wp:anchor distT="0" distB="0" distL="114300" distR="114300" simplePos="0" relativeHeight="251650048" behindDoc="0" locked="0" layoutInCell="0" allowOverlap="1" wp14:anchorId="535552B6" wp14:editId="0B52F5BA">
                <wp:simplePos x="0" y="0"/>
                <wp:positionH relativeFrom="margin">
                  <wp:align>right</wp:align>
                </wp:positionH>
                <wp:positionV relativeFrom="paragraph">
                  <wp:posOffset>8890</wp:posOffset>
                </wp:positionV>
                <wp:extent cx="6276975" cy="457200"/>
                <wp:effectExtent l="0" t="0" r="9525" b="0"/>
                <wp:wrapNone/>
                <wp:docPr id="11" name="Text Box 4" descr="Intitulé du profil : Technicien Support International N2, 6 ans d’expérienc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FF0A2" w14:textId="60731A33" w:rsidR="000C4F02" w:rsidRDefault="00464D5F">
                            <w:pPr>
                              <w:pStyle w:val="nb"/>
                              <w:spacing w:line="240" w:lineRule="auto"/>
                              <w:jc w:val="center"/>
                              <w:rPr>
                                <w:bCs/>
                                <w:i w:val="0"/>
                                <w:iCs/>
                                <w:color w:val="7030A0"/>
                                <w:szCs w:val="24"/>
                              </w:rPr>
                            </w:pPr>
                            <w:r>
                              <w:rPr>
                                <w:bCs/>
                                <w:i w:val="0"/>
                                <w:iCs/>
                                <w:color w:val="7030A0"/>
                                <w:szCs w:val="24"/>
                              </w:rPr>
                              <w:t xml:space="preserve">DOSSIER DE COMPÉTENCES PMO – PLAN DE CHARGE </w:t>
                            </w:r>
                          </w:p>
                          <w:p w14:paraId="235F4827" w14:textId="51047937" w:rsidR="000C4F02" w:rsidRDefault="00464D5F">
                            <w:pPr>
                              <w:pStyle w:val="nb"/>
                              <w:spacing w:line="240" w:lineRule="auto"/>
                              <w:jc w:val="center"/>
                              <w:rPr>
                                <w:bCs/>
                                <w:iCs/>
                                <w:color w:val="808080" w:themeColor="background1" w:themeShade="80"/>
                                <w:szCs w:val="24"/>
                              </w:rPr>
                            </w:pPr>
                            <w:r>
                              <w:rPr>
                                <w:bCs/>
                                <w:iCs/>
                                <w:color w:val="808080" w:themeColor="background1" w:themeShade="80"/>
                                <w:szCs w:val="24"/>
                              </w:rPr>
                              <w:t>Plus de 25 ans d’expérience</w:t>
                            </w:r>
                            <w:r w:rsidR="00975AFF">
                              <w:rPr>
                                <w:bCs/>
                                <w:iCs/>
                                <w:color w:val="808080" w:themeColor="background1" w:themeShade="80"/>
                                <w:szCs w:val="24"/>
                              </w:rPr>
                              <w:t xml:space="preserve"> / PMO central &amp; plan de charge DSI</w:t>
                            </w:r>
                          </w:p>
                          <w:p w14:paraId="195FB6B8" w14:textId="77777777" w:rsidR="000C4F02" w:rsidRDefault="000C4F02">
                            <w:pPr>
                              <w:pStyle w:val="nb"/>
                              <w:spacing w:line="240" w:lineRule="auto"/>
                              <w:ind w:left="1418"/>
                              <w:jc w:val="center"/>
                              <w:rPr>
                                <w:bCs/>
                                <w:i w:val="0"/>
                                <w:iCs/>
                                <w:color w:val="808080"/>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5552B6" id="_x0000_t202" coordsize="21600,21600" o:spt="202" path="m,l,21600r21600,l21600,xe">
                <v:stroke joinstyle="miter"/>
                <v:path gradientshapeok="t" o:connecttype="rect"/>
              </v:shapetype>
              <v:shape id="Text Box 4" o:spid="_x0000_s1026" type="#_x0000_t202" alt="Intitulé du profil : Technicien Support International N2, 6 ans d’expérience" style="position:absolute;left:0;text-align:left;margin-left:443.05pt;margin-top:.7pt;width:494.25pt;height:36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" o:allowincell="f" stroked="f">
                <v:textbox>
                  <w:txbxContent>
                    <w:p w14:paraId="4B1FF0A2" w14:textId="60731A33" w:rsidR="000C4F02" w:rsidRDefault="00464D5F">
                      <w:pPr>
                        <w:pStyle w:val="nb"/>
                        <w:spacing w:line="240" w:lineRule="auto"/>
                        <w:jc w:val="center"/>
                        <w:rPr>
                          <w:bCs/>
                          <w:i w:val="0"/>
                          <w:iCs/>
                          <w:color w:val="7030A0"/>
                          <w:szCs w:val="24"/>
                        </w:rPr>
                      </w:pPr>
                      <w:r>
                        <w:rPr>
                          <w:bCs/>
                          <w:i w:val="0"/>
                          <w:iCs/>
                          <w:color w:val="7030A0"/>
                          <w:szCs w:val="24"/>
                        </w:rPr>
                        <w:t xml:space="preserve">DOSSIER DE COMPÉTENCES PMO – PLAN DE CHARGE </w:t>
                      </w:r>
                    </w:p>
                    <w:p w14:paraId="235F4827" w14:textId="51047937" w:rsidR="000C4F02" w:rsidRDefault="00464D5F">
                      <w:pPr>
                        <w:pStyle w:val="nb"/>
                        <w:spacing w:line="240" w:lineRule="auto"/>
                        <w:jc w:val="center"/>
                        <w:rPr>
                          <w:bCs/>
                          <w:iCs/>
                          <w:color w:val="808080" w:themeColor="background1" w:themeShade="80"/>
                          <w:szCs w:val="24"/>
                        </w:rPr>
                      </w:pPr>
                      <w:r>
                        <w:rPr>
                          <w:bCs/>
                          <w:iCs/>
                          <w:color w:val="808080" w:themeColor="background1" w:themeShade="80"/>
                          <w:szCs w:val="24"/>
                        </w:rPr>
                        <w:t>Plus de 25 ans d’expérience</w:t>
                      </w:r>
                      <w:r w:rsidR="00975AFF">
                        <w:rPr>
                          <w:bCs/>
                          <w:iCs/>
                          <w:color w:val="808080" w:themeColor="background1" w:themeShade="80"/>
                          <w:szCs w:val="24"/>
                        </w:rPr>
                        <w:t xml:space="preserve"> / PMO central &amp; plan de charge DSI</w:t>
                      </w:r>
                    </w:p>
                    <w:p w14:paraId="195FB6B8" w14:textId="77777777" w:rsidR="000C4F02" w:rsidRDefault="000C4F02">
                      <w:pPr>
                        <w:pStyle w:val="nb"/>
                        <w:spacing w:line="240" w:lineRule="auto"/>
                        <w:ind w:left="1418"/>
                        <w:jc w:val="center"/>
                        <w:rPr>
                          <w:bCs/>
                          <w:i w:val="0"/>
                          <w:iCs/>
                          <w:color w:val="808080"/>
                          <w:sz w:val="22"/>
                          <w:szCs w:val="22"/>
                        </w:rPr>
                      </w:pPr>
                    </w:p>
                  </w:txbxContent>
                </v:textbox>
                <w10:wrap anchorx="margin"/>
              </v:shape>
            </w:pict>
          </mc:Fallback>
        </mc:AlternateContent>
      </w:r>
    </w:p>
    <w:p w14:paraId="083A9A4E" w14:textId="77777777" w:rsidR="000C4F02" w:rsidRDefault="000C4F02">
      <w:pPr>
        <w:spacing w:after="15" w:line="180" w:lineRule="auto"/>
        <w:jc w:val="left"/>
      </w:pPr>
    </w:p>
    <w:p w14:paraId="4B3E5955" w14:textId="77777777" w:rsidR="000C4F02" w:rsidRDefault="000C4F02">
      <w:pPr>
        <w:spacing w:after="15" w:line="180" w:lineRule="auto"/>
        <w:jc w:val="left"/>
      </w:pPr>
    </w:p>
    <w:p w14:paraId="31F5F828" w14:textId="77777777" w:rsidR="000C4F02" w:rsidRDefault="000C4F02">
      <w:pPr>
        <w:spacing w:after="15" w:line="180" w:lineRule="auto"/>
        <w:jc w:val="left"/>
      </w:pPr>
    </w:p>
    <w:p w14:paraId="443DEE0C" w14:textId="77777777" w:rsidR="000C4F02" w:rsidRDefault="000C4F02">
      <w:pPr>
        <w:spacing w:after="20" w:line="180" w:lineRule="auto"/>
        <w:jc w:val="left"/>
      </w:pPr>
    </w:p>
    <w:p w14:paraId="16E22232" w14:textId="10964605" w:rsidR="000C4F02" w:rsidRDefault="00464D5F">
      <w:pPr>
        <w:spacing w:after="20" w:line="228" w:lineRule="auto"/>
        <w:jc w:val="center"/>
      </w:pPr>
      <w:r>
        <w:rPr>
          <w:b/>
          <w:color w:val="4B0A78"/>
          <w:sz w:val="26"/>
        </w:rPr>
        <w:t>ELA</w:t>
      </w:r>
    </w:p>
    <w:p w14:paraId="7C4697DA" w14:textId="77777777" w:rsidR="000C4F02" w:rsidRDefault="00464D5F">
      <w:pPr>
        <w:spacing w:after="120" w:line="228" w:lineRule="auto"/>
        <w:jc w:val="center"/>
        <w:rPr>
          <w:b/>
          <w:i/>
          <w:color w:val="808080"/>
          <w:sz w:val="19"/>
        </w:rPr>
      </w:pPr>
      <w:r>
        <w:rPr>
          <w:b/>
          <w:i/>
          <w:color w:val="808080"/>
          <w:sz w:val="19"/>
        </w:rPr>
        <w:t>Mission visée : Administration du plan de charge – Gouvernance SI</w:t>
      </w:r>
    </w:p>
    <w:p w14:paraId="17854347" w14:textId="77777777" w:rsidR="009628C6" w:rsidRDefault="009628C6">
      <w:pPr>
        <w:spacing w:after="120" w:line="228" w:lineRule="auto"/>
        <w:jc w:val="center"/>
      </w:pPr>
    </w:p>
    <w:p w14:paraId="3B3C6F2C"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1072" behindDoc="0" locked="0" layoutInCell="1" allowOverlap="1" wp14:anchorId="08A987C3" wp14:editId="6AC9F73D">
                <wp:simplePos x="0" y="0"/>
                <wp:positionH relativeFrom="margin">
                  <wp:posOffset>31750</wp:posOffset>
                </wp:positionH>
                <wp:positionV relativeFrom="paragraph">
                  <wp:posOffset>8255</wp:posOffset>
                </wp:positionV>
                <wp:extent cx="6165850" cy="233680"/>
                <wp:effectExtent l="0" t="0" r="25400" b="13970"/>
                <wp:wrapNone/>
                <wp:docPr id="30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3" name="Groupe 53"/>
                        <wpg:cNvGrpSpPr/>
                        <wpg:grpSpPr>
                          <a:xfrm>
                            <a:off x="0" y="7315"/>
                            <a:ext cx="6165850" cy="217845"/>
                            <a:chOff x="1" y="80592"/>
                            <a:chExt cx="6166002" cy="218486"/>
                          </a:xfrm>
                        </wpg:grpSpPr>
                        <wps:wsp>
                          <wps:cNvPr id="5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3FB5FF1"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279FD989" w14:textId="77777777" w:rsidR="000C4F02" w:rsidRDefault="00464D5F">
                              <w:pPr>
                                <w:rPr>
                                  <w:b/>
                                  <w:bCs/>
                                  <w:color w:val="FFFFFF" w:themeColor="background1"/>
                                </w:rPr>
                              </w:pPr>
                              <w:r>
                                <w:rPr>
                                  <w:b/>
                                  <w:bCs/>
                                  <w:color w:val="FFFFFF" w:themeColor="background1"/>
                                </w:rPr>
                                <w:t>SYNTHÈSE DU PROFIL</w:t>
                              </w:r>
                            </w:p>
                          </w:txbxContent>
                        </wps:txbx>
                        <wps:bodyPr rot="0" vert="horz" wrap="square" lIns="91440" tIns="45720" rIns="91440" bIns="45720" anchor="t" anchorCtr="0">
                          <a:noAutofit/>
                        </wps:bodyPr>
                      </wps:wsp>
                    </wpg:wgp>
                  </a:graphicData>
                </a:graphic>
              </wp:anchor>
            </w:drawing>
          </mc:Choice>
          <mc:Fallback>
            <w:pict>
              <v:group w14:anchorId="08A987C3" id="Bloc titre 301" o:spid="_x0000_s1027" alt="Titre de section : ANALYSE TILENCIA" style="position:absolute;margin-left:2.5pt;margin-top:.65pt;width:485.5pt;height:18.4pt;z-index:25165107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NU2cwQAAAEN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">
                <v:group id="Groupe 53" o:spid="_x0000_s102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Rectangle : avec coin rogné 54" o:spid="_x0000_s102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3FB5FF1" w14:textId="77777777" w:rsidR="000C4F02" w:rsidRDefault="000C4F02">
                          <w:pPr>
                            <w:jc w:val="left"/>
                            <w:rPr>
                              <w:b/>
                              <w:bCs/>
                              <w:szCs w:val="18"/>
                            </w:rPr>
                          </w:pPr>
                        </w:p>
                      </w:txbxContent>
                    </v:textbox>
                  </v:shape>
                  <v:line id="Connecteur droit 55" o:spid="_x0000_s103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" strokecolor="#4b0a78" strokeweight="2.25pt"/>
                </v:group>
                <v:shape id="Zone de texte 2" o:spid="_x0000_s103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" filled="f" stroked="f">
                  <v:textbox>
                    <w:txbxContent>
                      <w:p w14:paraId="279FD989" w14:textId="77777777" w:rsidR="000C4F02" w:rsidRDefault="00464D5F">
                        <w:pPr>
                          <w:rPr>
                            <w:b/>
                            <w:bCs/>
                            <w:color w:val="FFFFFF" w:themeColor="background1"/>
                          </w:rPr>
                        </w:pPr>
                        <w:r>
                          <w:rPr>
                            <w:b/>
                            <w:bCs/>
                            <w:color w:val="FFFFFF" w:themeColor="background1"/>
                          </w:rPr>
                          <w:t>SYNTHÈSE DU PROFIL</w:t>
                        </w:r>
                      </w:p>
                    </w:txbxContent>
                  </v:textbox>
                </v:shape>
                <w10:wrap anchorx="margin"/>
              </v:group>
            </w:pict>
          </mc:Fallback>
        </mc:AlternateContent>
      </w:r>
    </w:p>
    <w:p w14:paraId="1881B0E5" w14:textId="1AA4D402" w:rsidR="000C4F02" w:rsidRDefault="00464D5F" w:rsidP="009F7AC9">
      <w:pPr>
        <w:spacing w:after="60"/>
        <w:ind w:firstLine="720"/>
        <w:jc w:val="left"/>
      </w:pPr>
      <w:r>
        <w:t>PMO senior spécialisé dans la gouvernance de portefeuille, le pilotage des plans de charge et le suivi budgétaire, ELA intervient au croisement des directions métiers, DSI et fonctions Finance. Il cumule plus de 25 ans d’expérience dans des environnements banque, assurance, retraite complémentaire, santé, secteur public et aéroportuaire.</w:t>
      </w:r>
    </w:p>
    <w:p w14:paraId="426C06BA" w14:textId="77777777" w:rsidR="000C4F02" w:rsidRDefault="00464D5F" w:rsidP="009F7AC9">
      <w:pPr>
        <w:spacing w:after="60"/>
        <w:ind w:firstLine="720"/>
        <w:jc w:val="left"/>
      </w:pPr>
      <w:r>
        <w:t>Son expérience récente chez ADP couvre le pilotage d’un plan de charge DSI consolidé, l’allocation des ressources, l’analyse de la capacité à faire, les comités Roadmap et le reporting PREV / BUILD / RUN. Chez Malakoff Humanis, il est intervenu au sein de la DSI Relation Client sur des programmes d’épargne, d’assurance et de retraite complémentaire.</w:t>
      </w:r>
    </w:p>
    <w:p w14:paraId="454AD6A0" w14:textId="77777777" w:rsidR="000C4F02" w:rsidRDefault="00464D5F" w:rsidP="009F7AC9">
      <w:pPr>
        <w:spacing w:after="100"/>
        <w:ind w:firstLine="720"/>
        <w:jc w:val="left"/>
      </w:pPr>
      <w:r>
        <w:t>Il dispose d’un niveau fonctionnel satisfaisant sur Clarity PPM et d’un niveau débutant sur Open Workbench. Il maîtrise Excel, les tableaux croisés dynamiques, les fonctions complexes, VBA et les macros à un niveau avancé ; Microsoft Access est maîtrisé à un niveau avancé à rafraîchir. Il est également expérimenté sur les arrêtés mensuels, le consommé, le RAF, le réestimé, le prévisionnel, l’atterrissage et les supports de type Cockpit.</w:t>
      </w:r>
    </w:p>
    <w:p w14:paraId="213E26ED" w14:textId="77777777" w:rsidR="009628C6" w:rsidRDefault="009628C6" w:rsidP="009F7AC9">
      <w:pPr>
        <w:spacing w:after="100"/>
        <w:ind w:firstLine="720"/>
        <w:jc w:val="left"/>
      </w:pPr>
    </w:p>
    <w:tbl>
      <w:tblPr>
        <w:tblW w:w="0" w:type="auto"/>
        <w:jc w:val="center"/>
        <w:tblLayout w:type="fixed"/>
        <w:tblLook w:val="04A0" w:firstRow="1" w:lastRow="0" w:firstColumn="1" w:lastColumn="0" w:noHBand="0" w:noVBand="1"/>
      </w:tblPr>
      <w:tblGrid>
        <w:gridCol w:w="4592"/>
        <w:gridCol w:w="4592"/>
      </w:tblGrid>
      <w:tr w:rsidR="000C4F02" w14:paraId="1E88C23F"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631895C9" w14:textId="77777777" w:rsidR="000C4F02" w:rsidRDefault="00464D5F">
            <w:pPr>
              <w:spacing w:after="60" w:line="228" w:lineRule="auto"/>
            </w:pPr>
            <w:r>
              <w:rPr>
                <w:b/>
                <w:color w:val="4B0A78"/>
              </w:rPr>
              <w:t>Clarity PPM &amp; Open Workbench</w:t>
            </w:r>
          </w:p>
          <w:p w14:paraId="41371BCF" w14:textId="68BC0AAC" w:rsidR="000C4F02" w:rsidRDefault="00464D5F">
            <w:pPr>
              <w:spacing w:line="228" w:lineRule="auto"/>
            </w:pPr>
            <w:r>
              <w:rPr>
                <w:sz w:val="17"/>
              </w:rPr>
              <w:t xml:space="preserve">Clarity PPM : pratique fonctionnelle sur ressources, affectations, projets, timesheets, calendriers, charges et budgets. Open Workbench </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A329B3A" w14:textId="77777777" w:rsidR="000C4F02" w:rsidRDefault="00464D5F">
            <w:pPr>
              <w:spacing w:after="60" w:line="228" w:lineRule="auto"/>
            </w:pPr>
            <w:r>
              <w:rPr>
                <w:b/>
                <w:color w:val="4B0A78"/>
              </w:rPr>
              <w:t>Pilotage budgétaire</w:t>
            </w:r>
          </w:p>
          <w:p w14:paraId="027A07C5" w14:textId="77777777" w:rsidR="000C4F02" w:rsidRDefault="00464D5F">
            <w:pPr>
              <w:spacing w:line="228" w:lineRule="auto"/>
            </w:pPr>
            <w:r>
              <w:rPr>
                <w:sz w:val="17"/>
              </w:rPr>
              <w:t>Consommé, RAF, réestimé, prévisionnel, atterrissage, arrêtés mensuels, contrôle des imputations et reporting.</w:t>
            </w:r>
          </w:p>
        </w:tc>
      </w:tr>
      <w:tr w:rsidR="000C4F02" w14:paraId="475C4F8E"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F90AEC5" w14:textId="0079D6C1" w:rsidR="000C4F02" w:rsidRDefault="00464D5F">
            <w:pPr>
              <w:spacing w:after="60" w:line="228" w:lineRule="auto"/>
            </w:pPr>
            <w:r>
              <w:rPr>
                <w:b/>
                <w:color w:val="4B0A78"/>
              </w:rPr>
              <w:t>Excel / VBA / Access / Power BI</w:t>
            </w:r>
          </w:p>
          <w:p w14:paraId="6C8DC223" w14:textId="10F250B6" w:rsidR="000C4F02" w:rsidRDefault="00464D5F">
            <w:pPr>
              <w:spacing w:line="228" w:lineRule="auto"/>
            </w:pPr>
            <w:r>
              <w:rPr>
                <w:sz w:val="17"/>
              </w:rPr>
              <w:t>Excel avancé, TCD, fonctions complexes, automatisation, VBA et macros avancés ; Access avancé; Power BI.</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55D9B40" w14:textId="77777777" w:rsidR="000C4F02" w:rsidRDefault="00464D5F">
            <w:pPr>
              <w:spacing w:after="60" w:line="228" w:lineRule="auto"/>
            </w:pPr>
            <w:r>
              <w:rPr>
                <w:b/>
                <w:color w:val="4B0A78"/>
              </w:rPr>
              <w:t>Méthode ABC</w:t>
            </w:r>
          </w:p>
          <w:p w14:paraId="43199455" w14:textId="4A1531DA" w:rsidR="000C4F02" w:rsidRDefault="00CB7B81">
            <w:pPr>
              <w:spacing w:line="228" w:lineRule="auto"/>
            </w:pPr>
            <w:r>
              <w:rPr>
                <w:sz w:val="17"/>
              </w:rPr>
              <w:t>confirmé</w:t>
            </w:r>
            <w:r w:rsidR="00464D5F">
              <w:rPr>
                <w:sz w:val="17"/>
              </w:rPr>
              <w:t xml:space="preserve"> ; expérience de ventilation des charges et coûts par activité et axes analytiques.</w:t>
            </w:r>
          </w:p>
        </w:tc>
      </w:tr>
      <w:tr w:rsidR="000C4F02" w14:paraId="7E062049"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3B64C9C9" w14:textId="77777777" w:rsidR="000C4F02" w:rsidRDefault="00464D5F">
            <w:pPr>
              <w:spacing w:after="60" w:line="228" w:lineRule="auto"/>
            </w:pPr>
            <w:r>
              <w:rPr>
                <w:b/>
                <w:color w:val="4B0A78"/>
              </w:rPr>
              <w:t>Gouvernance transverse</w:t>
            </w:r>
          </w:p>
          <w:p w14:paraId="249DFDA3" w14:textId="77777777" w:rsidR="000C4F02" w:rsidRDefault="00464D5F">
            <w:pPr>
              <w:spacing w:line="228" w:lineRule="auto"/>
            </w:pPr>
            <w:r>
              <w:rPr>
                <w:sz w:val="17"/>
              </w:rPr>
              <w:t>COMEX, CODIR, COPIL, COPROJ, comités Roadmap et capacitaires, revues de portefeuille, KPI et OKR.</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5C1812FB" w14:textId="77777777" w:rsidR="000C4F02" w:rsidRDefault="00464D5F">
            <w:pPr>
              <w:spacing w:after="60" w:line="228" w:lineRule="auto"/>
            </w:pPr>
            <w:r>
              <w:rPr>
                <w:b/>
                <w:color w:val="4B0A78"/>
              </w:rPr>
              <w:t>Accompagnement des équipes</w:t>
            </w:r>
          </w:p>
          <w:p w14:paraId="229D0CF0" w14:textId="77777777" w:rsidR="000C4F02" w:rsidRDefault="00464D5F">
            <w:pPr>
              <w:spacing w:line="228" w:lineRule="auto"/>
            </w:pPr>
            <w:r>
              <w:rPr>
                <w:sz w:val="17"/>
              </w:rPr>
              <w:t>Accompagnement des PMO et chefs de projet, formalisation de standards, support utilisateurs et conduite du changement.</w:t>
            </w:r>
          </w:p>
        </w:tc>
      </w:tr>
    </w:tbl>
    <w:p w14:paraId="4C118D33" w14:textId="77777777" w:rsidR="000C4F02" w:rsidRDefault="000C4F02">
      <w:pPr>
        <w:spacing w:after="20"/>
      </w:pPr>
    </w:p>
    <w:p w14:paraId="7D5C5F86" w14:textId="77777777" w:rsidR="009628C6" w:rsidRDefault="009628C6">
      <w:pPr>
        <w:spacing w:after="20"/>
      </w:pPr>
    </w:p>
    <w:p w14:paraId="5DCC4254" w14:textId="77777777" w:rsidR="009628C6" w:rsidRDefault="009628C6">
      <w:pPr>
        <w:spacing w:after="20"/>
      </w:pPr>
    </w:p>
    <w:p w14:paraId="6EA3E218" w14:textId="77777777" w:rsidR="009628C6" w:rsidRDefault="009628C6">
      <w:pPr>
        <w:spacing w:after="20"/>
      </w:pPr>
    </w:p>
    <w:p w14:paraId="5862C0F5"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2096" behindDoc="0" locked="0" layoutInCell="1" allowOverlap="1" wp14:anchorId="611ED03A" wp14:editId="76271EA7">
                <wp:simplePos x="0" y="0"/>
                <wp:positionH relativeFrom="margin">
                  <wp:posOffset>31750</wp:posOffset>
                </wp:positionH>
                <wp:positionV relativeFrom="paragraph">
                  <wp:posOffset>8255</wp:posOffset>
                </wp:positionV>
                <wp:extent cx="6165850" cy="233680"/>
                <wp:effectExtent l="0" t="0" r="25400" b="13970"/>
                <wp:wrapNone/>
                <wp:docPr id="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 name="Groupe 53"/>
                        <wpg:cNvGrpSpPr/>
                        <wpg:grpSpPr>
                          <a:xfrm>
                            <a:off x="0" y="7315"/>
                            <a:ext cx="6165850" cy="217845"/>
                            <a:chOff x="1" y="80592"/>
                            <a:chExt cx="6166002" cy="218486"/>
                          </a:xfrm>
                        </wpg:grpSpPr>
                        <wps:wsp>
                          <wps:cNvPr id="3"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2D69B0"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90BC4FA" w14:textId="77777777" w:rsidR="000C4F02" w:rsidRDefault="00464D5F">
                              <w:pPr>
                                <w:rPr>
                                  <w:b/>
                                  <w:bCs/>
                                  <w:color w:val="FFFFFF" w:themeColor="background1"/>
                                </w:rPr>
                              </w:pPr>
                              <w:r>
                                <w:rPr>
                                  <w:b/>
                                  <w:bCs/>
                                  <w:color w:val="FFFFFF" w:themeColor="background1"/>
                                </w:rPr>
                                <w:t>REPÈRES CLÉS</w:t>
                              </w:r>
                            </w:p>
                          </w:txbxContent>
                        </wps:txbx>
                        <wps:bodyPr rot="0" vert="horz" wrap="square" lIns="91440" tIns="45720" rIns="91440" bIns="45720" anchor="t" anchorCtr="0">
                          <a:noAutofit/>
                        </wps:bodyPr>
                      </wps:wsp>
                    </wpg:wgp>
                  </a:graphicData>
                </a:graphic>
              </wp:anchor>
            </w:drawing>
          </mc:Choice>
          <mc:Fallback>
            <w:pict>
              <v:group w14:anchorId="611ED03A" id="_x0000_s1032" alt="Titre de section : ANALYSE TILENCIA" style="position:absolute;margin-left:2.5pt;margin-top:.65pt;width:485.5pt;height:18.4pt;z-index:25165209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">
                <v:group id="Groupe 53" o:spid="_x0000_s103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Rectangle : avec coin rogné 54" o:spid="_x0000_s103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6F2D69B0" w14:textId="77777777" w:rsidR="000C4F02" w:rsidRDefault="000C4F02">
                          <w:pPr>
                            <w:jc w:val="left"/>
                            <w:rPr>
                              <w:b/>
                              <w:bCs/>
                              <w:szCs w:val="18"/>
                            </w:rPr>
                          </w:pPr>
                        </w:p>
                      </w:txbxContent>
                    </v:textbox>
                  </v:shape>
                  <v:line id="Connecteur droit 55" o:spid="_x0000_s103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" strokecolor="#4b0a78" strokeweight="2.25pt"/>
                </v:group>
                <v:shape id="Zone de texte 2" o:spid="_x0000_s103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790BC4FA" w14:textId="77777777" w:rsidR="000C4F02" w:rsidRDefault="00464D5F">
                        <w:pPr>
                          <w:rPr>
                            <w:b/>
                            <w:bCs/>
                            <w:color w:val="FFFFFF" w:themeColor="background1"/>
                          </w:rPr>
                        </w:pPr>
                        <w:r>
                          <w:rPr>
                            <w:b/>
                            <w:bCs/>
                            <w:color w:val="FFFFFF" w:themeColor="background1"/>
                          </w:rPr>
                          <w:t>REPÈRES CLÉS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098"/>
        <w:gridCol w:w="7200"/>
      </w:tblGrid>
      <w:tr w:rsidR="000C4F02" w14:paraId="5FFE5A63"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5F915244" w14:textId="77777777" w:rsidR="000C4F02" w:rsidRDefault="00464D5F">
            <w:pPr>
              <w:spacing w:line="228" w:lineRule="auto"/>
            </w:pPr>
            <w:r>
              <w:rPr>
                <w:b/>
                <w:color w:val="4B0A78"/>
                <w:sz w:val="17"/>
              </w:rPr>
              <w:t>Positionnement</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50DDDAE" w14:textId="77777777" w:rsidR="000C4F02" w:rsidRDefault="00464D5F">
            <w:pPr>
              <w:spacing w:line="228" w:lineRule="auto"/>
            </w:pPr>
            <w:r>
              <w:rPr>
                <w:sz w:val="17"/>
              </w:rPr>
              <w:t>PMO senior – Plan de charge DSI, Clarity PPM, pilotage budgétaire et capacity planning</w:t>
            </w:r>
          </w:p>
        </w:tc>
      </w:tr>
      <w:tr w:rsidR="000C4F02" w14:paraId="38A96432"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3BDE83AC" w14:textId="77777777" w:rsidR="000C4F02" w:rsidRDefault="00464D5F">
            <w:pPr>
              <w:spacing w:line="228" w:lineRule="auto"/>
            </w:pPr>
            <w:r>
              <w:rPr>
                <w:b/>
                <w:color w:val="4B0A78"/>
                <w:sz w:val="17"/>
              </w:rPr>
              <w:t>Expérience</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26E330D" w14:textId="77777777" w:rsidR="000C4F02" w:rsidRDefault="00464D5F">
            <w:pPr>
              <w:spacing w:line="228" w:lineRule="auto"/>
            </w:pPr>
            <w:r>
              <w:rPr>
                <w:sz w:val="17"/>
              </w:rPr>
              <w:t>Plus de 25 ans en PMO central, gouvernance de portefeuille, budget et capacité à faire</w:t>
            </w:r>
          </w:p>
        </w:tc>
      </w:tr>
      <w:tr w:rsidR="000C4F02" w14:paraId="36A1EA6D"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5575B046" w14:textId="77777777" w:rsidR="000C4F02" w:rsidRDefault="00464D5F">
            <w:pPr>
              <w:spacing w:line="228" w:lineRule="auto"/>
            </w:pPr>
            <w:r>
              <w:rPr>
                <w:b/>
                <w:color w:val="4B0A78"/>
                <w:sz w:val="17"/>
              </w:rPr>
              <w:t>Secteurs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1EF84CAA" w14:textId="77777777" w:rsidR="000C4F02" w:rsidRDefault="00464D5F">
            <w:pPr>
              <w:spacing w:line="228" w:lineRule="auto"/>
            </w:pPr>
            <w:r>
              <w:rPr>
                <w:sz w:val="17"/>
              </w:rPr>
              <w:t>Retraite complémentaire, protection sociale, assurance, banque, santé, secteur public et aéroportuaire</w:t>
            </w:r>
          </w:p>
        </w:tc>
      </w:tr>
      <w:tr w:rsidR="000C4F02" w14:paraId="2E0FD399"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7CAB3B2D" w14:textId="77777777" w:rsidR="000C4F02" w:rsidRDefault="00464D5F">
            <w:pPr>
              <w:spacing w:line="228" w:lineRule="auto"/>
            </w:pPr>
            <w:r>
              <w:rPr>
                <w:b/>
                <w:color w:val="4B0A78"/>
                <w:sz w:val="17"/>
              </w:rPr>
              <w:t>Périmètres chiffrés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00A168C" w14:textId="77777777" w:rsidR="000C4F02" w:rsidRDefault="00464D5F">
            <w:pPr>
              <w:spacing w:line="228" w:lineRule="auto"/>
            </w:pPr>
            <w:r>
              <w:rPr>
                <w:sz w:val="17"/>
              </w:rPr>
              <w:t>Portefeuille jusqu’à 220 M€ et 2 000 projets ; interventions multi-directions et grands programmes</w:t>
            </w:r>
          </w:p>
        </w:tc>
      </w:tr>
      <w:tr w:rsidR="000C4F02" w14:paraId="4E34F387"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30356D26" w14:textId="77777777" w:rsidR="000C4F02" w:rsidRDefault="00464D5F">
            <w:pPr>
              <w:spacing w:line="228" w:lineRule="auto"/>
            </w:pPr>
            <w:r>
              <w:rPr>
                <w:b/>
                <w:color w:val="4B0A78"/>
                <w:sz w:val="17"/>
              </w:rPr>
              <w:t>Accompagnement fonctionnel</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CA9191C" w14:textId="77777777" w:rsidR="000C4F02" w:rsidRDefault="00464D5F">
            <w:pPr>
              <w:spacing w:line="228" w:lineRule="auto"/>
            </w:pPr>
            <w:r>
              <w:rPr>
                <w:sz w:val="17"/>
              </w:rPr>
              <w:t>PMO, chefs de projet, équipes MOA/MOE et communautés de gestion de projets</w:t>
            </w:r>
          </w:p>
        </w:tc>
      </w:tr>
      <w:tr w:rsidR="000C4F02" w14:paraId="66880D94"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606F7043" w14:textId="77777777" w:rsidR="000C4F02" w:rsidRDefault="00464D5F">
            <w:pPr>
              <w:spacing w:line="228" w:lineRule="auto"/>
            </w:pPr>
            <w:r>
              <w:rPr>
                <w:b/>
                <w:color w:val="4B0A78"/>
                <w:sz w:val="17"/>
              </w:rPr>
              <w:t>Mobilité</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E329B99" w14:textId="77777777" w:rsidR="000C4F02" w:rsidRDefault="00464D5F">
            <w:pPr>
              <w:spacing w:line="228" w:lineRule="auto"/>
            </w:pPr>
            <w:r>
              <w:rPr>
                <w:sz w:val="17"/>
              </w:rPr>
              <w:t>Paris / Île-de-France confirmée</w:t>
            </w:r>
          </w:p>
        </w:tc>
      </w:tr>
    </w:tbl>
    <w:p w14:paraId="0C7DCE2C" w14:textId="77777777" w:rsidR="000C4F02" w:rsidRDefault="000C4F02">
      <w:pPr>
        <w:spacing w:after="20"/>
      </w:pPr>
    </w:p>
    <w:p w14:paraId="515B1492" w14:textId="202596D4" w:rsidR="000C4F02" w:rsidRDefault="000C4F02"/>
    <w:p w14:paraId="2E3113C9"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3120" behindDoc="0" locked="0" layoutInCell="1" allowOverlap="1" wp14:anchorId="55CFE7D9" wp14:editId="23FE615A">
                <wp:simplePos x="0" y="0"/>
                <wp:positionH relativeFrom="margin">
                  <wp:posOffset>31750</wp:posOffset>
                </wp:positionH>
                <wp:positionV relativeFrom="paragraph">
                  <wp:posOffset>8255</wp:posOffset>
                </wp:positionV>
                <wp:extent cx="6165850" cy="233680"/>
                <wp:effectExtent l="0" t="0" r="25400" b="13970"/>
                <wp:wrapNone/>
                <wp:docPr id="6"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7" name="Groupe 53"/>
                        <wpg:cNvGrpSpPr/>
                        <wpg:grpSpPr>
                          <a:xfrm>
                            <a:off x="0" y="7315"/>
                            <a:ext cx="6165850" cy="217845"/>
                            <a:chOff x="1" y="80592"/>
                            <a:chExt cx="6166002" cy="218486"/>
                          </a:xfrm>
                        </wpg:grpSpPr>
                        <wps:wsp>
                          <wps:cNvPr id="8"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EE143A7"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10"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50C3ECA" w14:textId="77777777" w:rsidR="000C4F02" w:rsidRDefault="00464D5F">
                              <w:pPr>
                                <w:rPr>
                                  <w:b/>
                                  <w:bCs/>
                                  <w:color w:val="FFFFFF" w:themeColor="background1"/>
                                </w:rPr>
                              </w:pPr>
                              <w:r>
                                <w:rPr>
                                  <w:b/>
                                  <w:bCs/>
                                  <w:color w:val="FFFFFF" w:themeColor="background1"/>
                                </w:rPr>
                                <w:t>COMPRÉHENSION DU BESOIN CLIENT</w:t>
                              </w:r>
                            </w:p>
                          </w:txbxContent>
                        </wps:txbx>
                        <wps:bodyPr rot="0" vert="horz" wrap="square" lIns="91440" tIns="45720" rIns="91440" bIns="45720" anchor="t" anchorCtr="0">
                          <a:noAutofit/>
                        </wps:bodyPr>
                      </wps:wsp>
                    </wpg:wgp>
                  </a:graphicData>
                </a:graphic>
              </wp:anchor>
            </w:drawing>
          </mc:Choice>
          <mc:Fallback>
            <w:pict>
              <v:group w14:anchorId="55CFE7D9" id="_x0000_s1037" alt="Titre de section : ANALYSE TILENCIA" style="position:absolute;margin-left:2.5pt;margin-top:.65pt;width:485.5pt;height:18.4pt;z-index:251653120;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">
                <v:group id="Groupe 53" o:spid="_x0000_s103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Rectangle : avec coin rogné 54" o:spid="_x0000_s103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6EE143A7" w14:textId="77777777" w:rsidR="000C4F02" w:rsidRDefault="000C4F02">
                          <w:pPr>
                            <w:jc w:val="left"/>
                            <w:rPr>
                              <w:b/>
                              <w:bCs/>
                              <w:szCs w:val="18"/>
                            </w:rPr>
                          </w:pPr>
                        </w:p>
                      </w:txbxContent>
                    </v:textbox>
                  </v:shape>
                  <v:line id="Connecteur droit 55" o:spid="_x0000_s104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" strokecolor="#4b0a78" strokeweight="2.25pt"/>
                </v:group>
                <v:shape id="Zone de texte 2" o:spid="_x0000_s104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750C3ECA" w14:textId="77777777" w:rsidR="000C4F02" w:rsidRDefault="00464D5F">
                        <w:pPr>
                          <w:rPr>
                            <w:b/>
                            <w:bCs/>
                            <w:color w:val="FFFFFF" w:themeColor="background1"/>
                          </w:rPr>
                        </w:pPr>
                        <w:r>
                          <w:rPr>
                            <w:b/>
                            <w:bCs/>
                            <w:color w:val="FFFFFF" w:themeColor="background1"/>
                          </w:rPr>
                          <w:t>COMPRÉHENSION DU BESOIN CLIENT</w:t>
                        </w:r>
                      </w:p>
                    </w:txbxContent>
                  </v:textbox>
                </v:shape>
                <w10:wrap anchorx="margin"/>
              </v:group>
            </w:pict>
          </mc:Fallback>
        </mc:AlternateContent>
      </w:r>
    </w:p>
    <w:p w14:paraId="2BD0CB54" w14:textId="77777777" w:rsidR="000C4F02" w:rsidRDefault="00464D5F" w:rsidP="00CB7B81">
      <w:pPr>
        <w:spacing w:after="60"/>
        <w:ind w:firstLine="720"/>
        <w:jc w:val="left"/>
      </w:pPr>
      <w:r>
        <w:t>La mission s’inscrit au sein de la DSI Relation Client, dans une équipe de gouvernance chargée de fiabiliser le plan de charge, les données capacitaires et le pilotage budgétaire. Elle combine une activité récurrente d’administration et de contrôle, la production de livrables mensuels et une forte dimension d’accompagnement des responsables de domaine, chefs de projet et PMO.</w:t>
      </w:r>
    </w:p>
    <w:p w14:paraId="1A3D1F6B" w14:textId="77777777" w:rsidR="00CB7B81" w:rsidRDefault="00CB7B81" w:rsidP="00CB7B81">
      <w:pPr>
        <w:spacing w:after="60"/>
        <w:ind w:firstLine="720"/>
        <w:jc w:val="left"/>
      </w:pPr>
    </w:p>
    <w:p w14:paraId="04153008" w14:textId="77777777" w:rsidR="000C4F02" w:rsidRDefault="00464D5F">
      <w:pPr>
        <w:keepNext/>
        <w:spacing w:before="40" w:after="40"/>
      </w:pPr>
      <w:r>
        <w:rPr>
          <w:b/>
          <w:color w:val="4B0A78"/>
          <w:sz w:val="21"/>
        </w:rPr>
        <w:t>Objectifs opérationnels de la prestation</w:t>
      </w:r>
    </w:p>
    <w:p w14:paraId="3BE06691" w14:textId="77777777" w:rsidR="000C4F02" w:rsidRDefault="00464D5F">
      <w:pPr>
        <w:spacing w:after="20" w:line="230" w:lineRule="auto"/>
        <w:ind w:left="255" w:hanging="142"/>
      </w:pPr>
      <w:r>
        <w:rPr>
          <w:color w:val="4B0A78"/>
        </w:rPr>
        <w:t xml:space="preserve">• </w:t>
      </w:r>
      <w:r>
        <w:t>Administrer et mettre à jour le plan de charge de la DSI, en consolidant les besoins, les affectations et les capacités des ressources internes et externes.</w:t>
      </w:r>
    </w:p>
    <w:p w14:paraId="2ACBA357" w14:textId="77777777" w:rsidR="000C4F02" w:rsidRDefault="00464D5F">
      <w:pPr>
        <w:spacing w:after="20" w:line="230" w:lineRule="auto"/>
        <w:ind w:left="255" w:hanging="142"/>
      </w:pPr>
      <w:r>
        <w:rPr>
          <w:color w:val="4B0A78"/>
        </w:rPr>
        <w:t xml:space="preserve">• </w:t>
      </w:r>
      <w:r>
        <w:t>Contrôler les feuilles de temps, la qualité des données, les charges, les consommés et les restes à faire ; identifier les écarts et organiser les relances.</w:t>
      </w:r>
    </w:p>
    <w:p w14:paraId="61461233" w14:textId="77777777" w:rsidR="000C4F02" w:rsidRDefault="00464D5F">
      <w:pPr>
        <w:spacing w:after="20" w:line="230" w:lineRule="auto"/>
        <w:ind w:left="255" w:hanging="142"/>
      </w:pPr>
      <w:r>
        <w:rPr>
          <w:color w:val="4B0A78"/>
        </w:rPr>
        <w:t xml:space="preserve">• </w:t>
      </w:r>
      <w:r>
        <w:t>Préparer les arrêtés mensuels et les clôtures en lien avec les responsables de domaine et le Contrôle de gestion.</w:t>
      </w:r>
    </w:p>
    <w:p w14:paraId="58352750" w14:textId="77777777" w:rsidR="000C4F02" w:rsidRDefault="00464D5F">
      <w:pPr>
        <w:spacing w:after="20" w:line="230" w:lineRule="auto"/>
        <w:ind w:left="255" w:hanging="142"/>
      </w:pPr>
      <w:r>
        <w:rPr>
          <w:color w:val="4B0A78"/>
        </w:rPr>
        <w:t xml:space="preserve">• </w:t>
      </w:r>
      <w:r>
        <w:t>Produire les tableaux de bord, analyses capacitaires, forecasts, analyses par activité, maquettes budgétaires et supports de gouvernance.</w:t>
      </w:r>
    </w:p>
    <w:p w14:paraId="0A31FA6A" w14:textId="77777777" w:rsidR="000C4F02" w:rsidRDefault="00464D5F">
      <w:pPr>
        <w:spacing w:after="20" w:line="230" w:lineRule="auto"/>
        <w:ind w:left="255" w:hanging="142"/>
      </w:pPr>
      <w:r>
        <w:rPr>
          <w:color w:val="4B0A78"/>
        </w:rPr>
        <w:t xml:space="preserve">• </w:t>
      </w:r>
      <w:r>
        <w:t>Maintenir et améliorer les outils de pilotage, notamment Clarity PPM, Open Workbench, Excel/VBA, Access, Power BI et les outils existants de l’équipe.</w:t>
      </w:r>
    </w:p>
    <w:p w14:paraId="3A605986" w14:textId="77777777" w:rsidR="000C4F02" w:rsidRDefault="00464D5F">
      <w:pPr>
        <w:spacing w:after="20" w:line="230" w:lineRule="auto"/>
        <w:ind w:left="255" w:hanging="142"/>
      </w:pPr>
      <w:r>
        <w:rPr>
          <w:color w:val="4B0A78"/>
        </w:rPr>
        <w:t xml:space="preserve">• </w:t>
      </w:r>
      <w:r>
        <w:t>Accompagner les utilisateurs, formaliser les procédures et sécuriser l’adoption des standards de gestion du plan de charge.</w:t>
      </w:r>
    </w:p>
    <w:p w14:paraId="7B860F5F" w14:textId="77777777" w:rsidR="009628C6" w:rsidRDefault="009628C6">
      <w:pPr>
        <w:spacing w:after="20" w:line="230" w:lineRule="auto"/>
        <w:ind w:left="255" w:hanging="142"/>
      </w:pPr>
    </w:p>
    <w:p w14:paraId="26D67F62" w14:textId="77777777" w:rsidR="009628C6" w:rsidRDefault="009628C6">
      <w:pPr>
        <w:spacing w:after="20" w:line="230" w:lineRule="auto"/>
        <w:ind w:left="255" w:hanging="142"/>
      </w:pPr>
    </w:p>
    <w:p w14:paraId="1D57392E"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4144" behindDoc="0" locked="0" layoutInCell="1" allowOverlap="1" wp14:anchorId="70E97449" wp14:editId="471F165F">
                <wp:simplePos x="0" y="0"/>
                <wp:positionH relativeFrom="margin">
                  <wp:posOffset>31750</wp:posOffset>
                </wp:positionH>
                <wp:positionV relativeFrom="paragraph">
                  <wp:posOffset>8255</wp:posOffset>
                </wp:positionV>
                <wp:extent cx="6165850" cy="233680"/>
                <wp:effectExtent l="0" t="0" r="25400" b="13970"/>
                <wp:wrapNone/>
                <wp:docPr id="1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3" name="Groupe 53"/>
                        <wpg:cNvGrpSpPr/>
                        <wpg:grpSpPr>
                          <a:xfrm>
                            <a:off x="0" y="7315"/>
                            <a:ext cx="6165850" cy="217845"/>
                            <a:chOff x="1" y="80592"/>
                            <a:chExt cx="6166002" cy="218486"/>
                          </a:xfrm>
                        </wpg:grpSpPr>
                        <wps:wsp>
                          <wps:cNvPr id="1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F7A5C1"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1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55691E7" w14:textId="77777777" w:rsidR="000C4F02" w:rsidRDefault="00464D5F">
                              <w:pPr>
                                <w:rPr>
                                  <w:b/>
                                  <w:bCs/>
                                  <w:color w:val="FFFFFF" w:themeColor="background1"/>
                                </w:rPr>
                              </w:pPr>
                              <w:r>
                                <w:rPr>
                                  <w:b/>
                                  <w:bCs/>
                                  <w:color w:val="FFFFFF" w:themeColor="background1"/>
                                </w:rPr>
                                <w:t>ADÉQUATION AUX ATTENTES</w:t>
                              </w:r>
                            </w:p>
                          </w:txbxContent>
                        </wps:txbx>
                        <wps:bodyPr rot="0" vert="horz" wrap="square" lIns="91440" tIns="45720" rIns="91440" bIns="45720" anchor="t" anchorCtr="0">
                          <a:noAutofit/>
                        </wps:bodyPr>
                      </wps:wsp>
                    </wpg:wgp>
                  </a:graphicData>
                </a:graphic>
              </wp:anchor>
            </w:drawing>
          </mc:Choice>
          <mc:Fallback>
            <w:pict>
              <v:group w14:anchorId="70E97449" id="_x0000_s1042" alt="Titre de section : ANALYSE TILENCIA" style="position:absolute;margin-left:2.5pt;margin-top:.65pt;width:485.5pt;height:18.4pt;z-index:25165414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">
                <v:group id="Groupe 53" o:spid="_x0000_s104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Rectangle : avec coin rogné 54" o:spid="_x0000_s104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18F7A5C1" w14:textId="77777777" w:rsidR="000C4F02" w:rsidRDefault="000C4F02">
                          <w:pPr>
                            <w:jc w:val="left"/>
                            <w:rPr>
                              <w:b/>
                              <w:bCs/>
                              <w:szCs w:val="18"/>
                            </w:rPr>
                          </w:pPr>
                        </w:p>
                      </w:txbxContent>
                    </v:textbox>
                  </v:shape>
                  <v:line id="Connecteur droit 55" o:spid="_x0000_s104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" strokecolor="#4b0a78" strokeweight="2.25pt"/>
                </v:group>
                <v:shape id="Zone de texte 2" o:spid="_x0000_s104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355691E7" w14:textId="77777777" w:rsidR="000C4F02" w:rsidRDefault="00464D5F">
                        <w:pPr>
                          <w:rPr>
                            <w:b/>
                            <w:bCs/>
                            <w:color w:val="FFFFFF" w:themeColor="background1"/>
                          </w:rPr>
                        </w:pPr>
                        <w:r>
                          <w:rPr>
                            <w:b/>
                            <w:bCs/>
                            <w:color w:val="FFFFFF" w:themeColor="background1"/>
                          </w:rPr>
                          <w:t>ADÉQUATION AUX ATTENTES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268"/>
        <w:gridCol w:w="5783"/>
        <w:gridCol w:w="1439"/>
      </w:tblGrid>
      <w:tr w:rsidR="000C4F02" w14:paraId="4928D85C" w14:textId="77777777" w:rsidTr="00975AFF">
        <w:trPr>
          <w:cantSplit/>
          <w:tblHeader/>
          <w:jc w:val="center"/>
        </w:trPr>
        <w:tc>
          <w:tcPr>
            <w:tcW w:w="2268"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363968D6" w14:textId="77777777" w:rsidR="000C4F02" w:rsidRDefault="00464D5F">
            <w:pPr>
              <w:spacing w:line="228" w:lineRule="auto"/>
              <w:jc w:val="center"/>
            </w:pPr>
            <w:r>
              <w:rPr>
                <w:b/>
                <w:color w:val="FFFFFF"/>
                <w:sz w:val="16"/>
              </w:rPr>
              <w:t>Attente du client</w:t>
            </w:r>
          </w:p>
        </w:tc>
        <w:tc>
          <w:tcPr>
            <w:tcW w:w="5783"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5377AC63" w14:textId="77777777" w:rsidR="000C4F02" w:rsidRDefault="00464D5F">
            <w:pPr>
              <w:spacing w:line="228" w:lineRule="auto"/>
              <w:jc w:val="center"/>
            </w:pPr>
            <w:r>
              <w:rPr>
                <w:b/>
                <w:color w:val="FFFFFF"/>
                <w:sz w:val="16"/>
              </w:rPr>
              <w:t>Éléments démontrés par ELA</w:t>
            </w:r>
          </w:p>
        </w:tc>
        <w:tc>
          <w:tcPr>
            <w:tcW w:w="1439"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311D3938" w14:textId="77777777" w:rsidR="000C4F02" w:rsidRDefault="00464D5F">
            <w:pPr>
              <w:spacing w:line="228" w:lineRule="auto"/>
              <w:jc w:val="center"/>
            </w:pPr>
            <w:r>
              <w:rPr>
                <w:b/>
                <w:color w:val="FFFFFF"/>
                <w:sz w:val="16"/>
              </w:rPr>
              <w:t>Niveau</w:t>
            </w:r>
          </w:p>
        </w:tc>
      </w:tr>
      <w:tr w:rsidR="000C4F02" w14:paraId="750D92F7"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F01120C" w14:textId="77777777" w:rsidR="000C4F02" w:rsidRDefault="00464D5F">
            <w:pPr>
              <w:spacing w:line="226" w:lineRule="auto"/>
            </w:pPr>
            <w:r>
              <w:rPr>
                <w:b/>
                <w:color w:val="4B0A78"/>
                <w:sz w:val="16"/>
              </w:rPr>
              <w:t>Clarity PPM / Open Workbench</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271E1AEC" w14:textId="35EB19CC" w:rsidR="000C4F02" w:rsidRDefault="00464D5F">
            <w:pPr>
              <w:spacing w:line="226" w:lineRule="auto"/>
            </w:pPr>
            <w:r>
              <w:rPr>
                <w:sz w:val="16"/>
              </w:rPr>
              <w:t>Pratique fonctionnelle de Clarity sur ressources, affectations, projets, feuilles de temps, calendriers, charges, budgets, extractions et contrôles. Open Workbench : niveau débutant.</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48FB8AED" w14:textId="49F32966" w:rsidR="000C4F02" w:rsidRDefault="00CB7B81">
            <w:pPr>
              <w:spacing w:line="226" w:lineRule="auto"/>
              <w:jc w:val="center"/>
            </w:pPr>
            <w:r>
              <w:rPr>
                <w:b/>
                <w:color w:val="7030A0"/>
                <w:sz w:val="16"/>
              </w:rPr>
              <w:t>Forte</w:t>
            </w:r>
          </w:p>
        </w:tc>
      </w:tr>
      <w:tr w:rsidR="000C4F02" w14:paraId="2869015D"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4CC0B03" w14:textId="77777777" w:rsidR="000C4F02" w:rsidRDefault="00464D5F">
            <w:pPr>
              <w:spacing w:line="226" w:lineRule="auto"/>
            </w:pPr>
            <w:r>
              <w:rPr>
                <w:b/>
                <w:color w:val="4B0A78"/>
                <w:sz w:val="16"/>
              </w:rPr>
              <w:t>Administration du plan de charge</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2CF408A" w14:textId="77777777" w:rsidR="000C4F02" w:rsidRDefault="00464D5F">
            <w:pPr>
              <w:spacing w:line="226" w:lineRule="auto"/>
            </w:pPr>
            <w:r>
              <w:rPr>
                <w:sz w:val="16"/>
              </w:rPr>
              <w:t>Pilotage chez ADP d’un plan de charge DSI consolidé : allocation des ressources, capacité à faire, compétences rares, comités Roadmap et arbitrages.</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3EBCECB" w14:textId="77777777" w:rsidR="000C4F02" w:rsidRDefault="00464D5F">
            <w:pPr>
              <w:spacing w:line="226" w:lineRule="auto"/>
              <w:jc w:val="center"/>
            </w:pPr>
            <w:r>
              <w:rPr>
                <w:b/>
                <w:color w:val="7030A0"/>
                <w:sz w:val="16"/>
              </w:rPr>
              <w:t>Très forte</w:t>
            </w:r>
          </w:p>
        </w:tc>
      </w:tr>
      <w:tr w:rsidR="000C4F02" w14:paraId="2616BB03"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5F66086D" w14:textId="77777777" w:rsidR="000C4F02" w:rsidRDefault="00464D5F">
            <w:pPr>
              <w:spacing w:line="226" w:lineRule="auto"/>
            </w:pPr>
            <w:r>
              <w:rPr>
                <w:b/>
                <w:color w:val="4B0A78"/>
                <w:sz w:val="16"/>
              </w:rPr>
              <w:t>Excel avancé, TCD, macros et VBA</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85E2DEA" w14:textId="77777777" w:rsidR="000C4F02" w:rsidRDefault="00464D5F">
            <w:pPr>
              <w:spacing w:line="226" w:lineRule="auto"/>
            </w:pPr>
            <w:r>
              <w:rPr>
                <w:sz w:val="16"/>
              </w:rPr>
              <w:t>Niveau avancé déclaré sur Excel, fonctions complexes, volumes importants, contrôles de cohérence, automatisation, VBA et maintenance de macros.</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00144E91" w14:textId="77777777" w:rsidR="000C4F02" w:rsidRDefault="00464D5F">
            <w:pPr>
              <w:spacing w:line="226" w:lineRule="auto"/>
              <w:jc w:val="center"/>
            </w:pPr>
            <w:r>
              <w:rPr>
                <w:b/>
                <w:color w:val="7030A0"/>
                <w:sz w:val="16"/>
              </w:rPr>
              <w:t>Très forte</w:t>
            </w:r>
          </w:p>
        </w:tc>
      </w:tr>
      <w:tr w:rsidR="000C4F02" w14:paraId="5F9EC89F"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51112D9E" w14:textId="77777777" w:rsidR="000C4F02" w:rsidRDefault="00464D5F">
            <w:pPr>
              <w:spacing w:line="226" w:lineRule="auto"/>
            </w:pPr>
            <w:r>
              <w:rPr>
                <w:b/>
                <w:color w:val="4B0A78"/>
                <w:sz w:val="16"/>
              </w:rPr>
              <w:t>Arrêtés mensuels / Contrôle de gestion</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1B0FF179" w14:textId="77777777" w:rsidR="000C4F02" w:rsidRDefault="00464D5F">
            <w:pPr>
              <w:spacing w:line="226" w:lineRule="auto"/>
            </w:pPr>
            <w:r>
              <w:rPr>
                <w:sz w:val="16"/>
              </w:rPr>
              <w:t>Niveau avancé sur consommé, RAF, réestimé, prévisionnel, atterrissage, imputations, maquettes budgétaires et supports Cockpit.</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DAF7816" w14:textId="77777777" w:rsidR="000C4F02" w:rsidRDefault="00464D5F">
            <w:pPr>
              <w:spacing w:line="226" w:lineRule="auto"/>
              <w:jc w:val="center"/>
            </w:pPr>
            <w:r>
              <w:rPr>
                <w:b/>
                <w:color w:val="7030A0"/>
                <w:sz w:val="16"/>
              </w:rPr>
              <w:t>Très forte</w:t>
            </w:r>
          </w:p>
        </w:tc>
      </w:tr>
      <w:tr w:rsidR="000C4F02" w14:paraId="66E721BA"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983536D" w14:textId="77777777" w:rsidR="000C4F02" w:rsidRDefault="00464D5F">
            <w:pPr>
              <w:spacing w:line="226" w:lineRule="auto"/>
            </w:pPr>
            <w:r>
              <w:rPr>
                <w:b/>
                <w:color w:val="4B0A78"/>
                <w:sz w:val="16"/>
              </w:rPr>
              <w:t>Méthode ABC</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E246A5D" w14:textId="644D8466" w:rsidR="000C4F02" w:rsidRDefault="00464D5F">
            <w:pPr>
              <w:spacing w:line="226" w:lineRule="auto"/>
            </w:pPr>
            <w:r>
              <w:rPr>
                <w:sz w:val="16"/>
              </w:rPr>
              <w:t>expérience de ventilation des charges et coûts par activité, ressources, services, projets et axes analytiques.</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061175F6" w14:textId="77777777" w:rsidR="000C4F02" w:rsidRDefault="00464D5F">
            <w:pPr>
              <w:spacing w:line="226" w:lineRule="auto"/>
              <w:jc w:val="center"/>
            </w:pPr>
            <w:r>
              <w:rPr>
                <w:b/>
                <w:color w:val="7030A0"/>
                <w:sz w:val="16"/>
              </w:rPr>
              <w:t>À rafraîchir</w:t>
            </w:r>
          </w:p>
        </w:tc>
      </w:tr>
      <w:tr w:rsidR="000C4F02" w14:paraId="7F5A2244"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C05C1B9" w14:textId="77777777" w:rsidR="000C4F02" w:rsidRDefault="00464D5F">
            <w:pPr>
              <w:spacing w:line="226" w:lineRule="auto"/>
            </w:pPr>
            <w:r>
              <w:rPr>
                <w:b/>
                <w:color w:val="4B0A78"/>
                <w:sz w:val="16"/>
              </w:rPr>
              <w:t>Reporting &amp; gouvernance</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13E5B84B" w14:textId="77777777" w:rsidR="000C4F02" w:rsidRDefault="00464D5F">
            <w:pPr>
              <w:spacing w:line="226" w:lineRule="auto"/>
            </w:pPr>
            <w:r>
              <w:rPr>
                <w:sz w:val="16"/>
              </w:rPr>
              <w:t>Reporting PREV / BUILD / RUN, KPI/OKR, COMEX, CODIR, COPIL/COPROJ, revues de portefeuille et comités capacitaires.</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6EDBBFCE" w14:textId="77777777" w:rsidR="000C4F02" w:rsidRDefault="00464D5F">
            <w:pPr>
              <w:spacing w:line="226" w:lineRule="auto"/>
              <w:jc w:val="center"/>
            </w:pPr>
            <w:r>
              <w:rPr>
                <w:b/>
                <w:color w:val="7030A0"/>
                <w:sz w:val="16"/>
              </w:rPr>
              <w:t>Très forte</w:t>
            </w:r>
          </w:p>
        </w:tc>
      </w:tr>
      <w:tr w:rsidR="000C4F02" w14:paraId="17044481"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FE18237" w14:textId="77777777" w:rsidR="000C4F02" w:rsidRDefault="00464D5F">
            <w:pPr>
              <w:spacing w:line="226" w:lineRule="auto"/>
            </w:pPr>
            <w:r>
              <w:rPr>
                <w:b/>
                <w:color w:val="4B0A78"/>
                <w:sz w:val="16"/>
              </w:rPr>
              <w:t>Formation &amp; accompagnement</w:t>
            </w:r>
          </w:p>
        </w:tc>
        <w:tc>
          <w:tcPr>
            <w:tcW w:w="5783"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494D4708" w14:textId="77777777" w:rsidR="000C4F02" w:rsidRDefault="00464D5F">
            <w:pPr>
              <w:spacing w:line="226" w:lineRule="auto"/>
            </w:pPr>
            <w:r>
              <w:rPr>
                <w:sz w:val="16"/>
              </w:rPr>
              <w:t>Accompagnement des PMO et chefs de projet, définition de standards, support utilisateurs Clarity et conduite du changement.</w:t>
            </w:r>
          </w:p>
        </w:tc>
        <w:tc>
          <w:tcPr>
            <w:tcW w:w="1439"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4AAC996" w14:textId="77777777" w:rsidR="000C4F02" w:rsidRDefault="00464D5F">
            <w:pPr>
              <w:spacing w:line="226" w:lineRule="auto"/>
              <w:jc w:val="center"/>
            </w:pPr>
            <w:r>
              <w:rPr>
                <w:b/>
                <w:color w:val="7030A0"/>
                <w:sz w:val="16"/>
              </w:rPr>
              <w:t>Forte</w:t>
            </w:r>
          </w:p>
        </w:tc>
      </w:tr>
      <w:tr w:rsidR="000C4F02" w14:paraId="45488F83" w14:textId="77777777" w:rsidTr="00975AFF">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19C4C782" w14:textId="77777777" w:rsidR="000C4F02" w:rsidRDefault="00464D5F">
            <w:pPr>
              <w:spacing w:line="226" w:lineRule="auto"/>
            </w:pPr>
            <w:r>
              <w:rPr>
                <w:b/>
                <w:color w:val="4B0A78"/>
                <w:sz w:val="16"/>
              </w:rPr>
              <w:t>Connaissance sectorielle</w:t>
            </w:r>
          </w:p>
        </w:tc>
        <w:tc>
          <w:tcPr>
            <w:tcW w:w="5783"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D267402" w14:textId="77777777" w:rsidR="000C4F02" w:rsidRDefault="00464D5F">
            <w:pPr>
              <w:spacing w:line="226" w:lineRule="auto"/>
            </w:pPr>
            <w:r>
              <w:rPr>
                <w:sz w:val="16"/>
              </w:rPr>
              <w:t>Expérience chez Malakoff Humanis au sein de la DSI Relation Client, Épargne, assurance et retraite complémentaire.</w:t>
            </w:r>
          </w:p>
        </w:tc>
        <w:tc>
          <w:tcPr>
            <w:tcW w:w="1439"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73D49E4" w14:textId="77777777" w:rsidR="000C4F02" w:rsidRDefault="00464D5F">
            <w:pPr>
              <w:spacing w:line="226" w:lineRule="auto"/>
              <w:jc w:val="center"/>
            </w:pPr>
            <w:r>
              <w:rPr>
                <w:b/>
                <w:color w:val="7030A0"/>
                <w:sz w:val="16"/>
              </w:rPr>
              <w:t>Très forte</w:t>
            </w:r>
          </w:p>
        </w:tc>
      </w:tr>
    </w:tbl>
    <w:p w14:paraId="0BB66CB6" w14:textId="77777777" w:rsidR="000C4F02" w:rsidRDefault="000C4F02">
      <w:pPr>
        <w:spacing w:after="20"/>
      </w:pPr>
    </w:p>
    <w:p w14:paraId="7075269B" w14:textId="77777777" w:rsidR="000C4F02" w:rsidRDefault="00464D5F">
      <w:r>
        <w:br w:type="page"/>
      </w:r>
    </w:p>
    <w:p w14:paraId="5956F3C1"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5168" behindDoc="0" locked="0" layoutInCell="1" allowOverlap="1" wp14:anchorId="0EAA0C1D" wp14:editId="2C9F6098">
                <wp:simplePos x="0" y="0"/>
                <wp:positionH relativeFrom="margin">
                  <wp:posOffset>31750</wp:posOffset>
                </wp:positionH>
                <wp:positionV relativeFrom="paragraph">
                  <wp:posOffset>8255</wp:posOffset>
                </wp:positionV>
                <wp:extent cx="6165850" cy="233680"/>
                <wp:effectExtent l="0" t="0" r="25400" b="13970"/>
                <wp:wrapNone/>
                <wp:docPr id="1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18" name="Groupe 53"/>
                        <wpg:cNvGrpSpPr/>
                        <wpg:grpSpPr>
                          <a:xfrm>
                            <a:off x="0" y="7315"/>
                            <a:ext cx="6165850" cy="217845"/>
                            <a:chOff x="1" y="80592"/>
                            <a:chExt cx="6166002" cy="218486"/>
                          </a:xfrm>
                        </wpg:grpSpPr>
                        <wps:wsp>
                          <wps:cNvPr id="1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DCC9287"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1FC39A1A" w14:textId="77777777" w:rsidR="000C4F02" w:rsidRDefault="00464D5F">
                              <w:pPr>
                                <w:rPr>
                                  <w:b/>
                                  <w:bCs/>
                                  <w:color w:val="FFFFFF" w:themeColor="background1"/>
                                </w:rPr>
                              </w:pPr>
                              <w:r>
                                <w:rPr>
                                  <w:b/>
                                  <w:bCs/>
                                  <w:color w:val="FFFFFF" w:themeColor="background1"/>
                                </w:rPr>
                                <w:t>MATRICE DE COMPÉTENCES</w:t>
                              </w:r>
                            </w:p>
                          </w:txbxContent>
                        </wps:txbx>
                        <wps:bodyPr rot="0" vert="horz" wrap="square" lIns="91440" tIns="45720" rIns="91440" bIns="45720" anchor="t" anchorCtr="0">
                          <a:noAutofit/>
                        </wps:bodyPr>
                      </wps:wsp>
                    </wpg:wgp>
                  </a:graphicData>
                </a:graphic>
              </wp:anchor>
            </w:drawing>
          </mc:Choice>
          <mc:Fallback>
            <w:pict>
              <v:group w14:anchorId="0EAA0C1D" id="_x0000_s1047" alt="Titre de section : ANALYSE TILENCIA" style="position:absolute;margin-left:2.5pt;margin-top:.65pt;width:485.5pt;height:18.4pt;z-index:25165516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">
                <v:group id="Groupe 53" o:spid="_x0000_s104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Rectangle : avec coin rogné 54" o:spid="_x0000_s104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7DCC9287" w14:textId="77777777" w:rsidR="000C4F02" w:rsidRDefault="000C4F02">
                          <w:pPr>
                            <w:jc w:val="left"/>
                            <w:rPr>
                              <w:b/>
                              <w:bCs/>
                              <w:szCs w:val="18"/>
                            </w:rPr>
                          </w:pPr>
                        </w:p>
                      </w:txbxContent>
                    </v:textbox>
                  </v:shape>
                  <v:line id="Connecteur droit 55" o:spid="_x0000_s105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" strokecolor="#4b0a78" strokeweight="2.25pt"/>
                </v:group>
                <v:shape id="Zone de texte 2" o:spid="_x0000_s105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1FC39A1A" w14:textId="77777777" w:rsidR="000C4F02" w:rsidRDefault="00464D5F">
                        <w:pPr>
                          <w:rPr>
                            <w:b/>
                            <w:bCs/>
                            <w:color w:val="FFFFFF" w:themeColor="background1"/>
                          </w:rPr>
                        </w:pPr>
                        <w:r>
                          <w:rPr>
                            <w:b/>
                            <w:bCs/>
                            <w:color w:val="FFFFFF" w:themeColor="background1"/>
                          </w:rPr>
                          <w:t>MATRICE DE COMPÉTENCES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268"/>
        <w:gridCol w:w="4932"/>
        <w:gridCol w:w="2098"/>
      </w:tblGrid>
      <w:tr w:rsidR="000C4F02" w14:paraId="09444D96" w14:textId="77777777">
        <w:trPr>
          <w:cantSplit/>
          <w:tblHeader/>
          <w:jc w:val="center"/>
        </w:trPr>
        <w:tc>
          <w:tcPr>
            <w:tcW w:w="2268"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77D21F3B" w14:textId="77777777" w:rsidR="000C4F02" w:rsidRDefault="00464D5F">
            <w:pPr>
              <w:spacing w:line="228" w:lineRule="auto"/>
              <w:jc w:val="center"/>
            </w:pPr>
            <w:r>
              <w:rPr>
                <w:b/>
                <w:color w:val="FFFFFF"/>
                <w:sz w:val="16"/>
              </w:rPr>
              <w:t>Domaine</w:t>
            </w:r>
          </w:p>
        </w:tc>
        <w:tc>
          <w:tcPr>
            <w:tcW w:w="4932"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53051EC2" w14:textId="77777777" w:rsidR="000C4F02" w:rsidRDefault="00464D5F">
            <w:pPr>
              <w:spacing w:line="228" w:lineRule="auto"/>
              <w:jc w:val="center"/>
            </w:pPr>
            <w:r>
              <w:rPr>
                <w:b/>
                <w:color w:val="FFFFFF"/>
                <w:sz w:val="16"/>
              </w:rPr>
              <w:t>Compétences et réalisations</w:t>
            </w:r>
          </w:p>
        </w:tc>
        <w:tc>
          <w:tcPr>
            <w:tcW w:w="2098" w:type="dxa"/>
            <w:tcBorders>
              <w:top w:val="single" w:sz="6" w:space="0" w:color="4B0A78"/>
              <w:left w:val="single" w:sz="6" w:space="0" w:color="FFFFFF"/>
              <w:bottom w:val="single" w:sz="6" w:space="0" w:color="4B0A78"/>
              <w:right w:val="single" w:sz="6" w:space="0" w:color="FFFFFF"/>
            </w:tcBorders>
            <w:shd w:val="clear" w:color="auto" w:fill="4B0A78"/>
            <w:tcMar>
              <w:top w:w="90" w:type="dxa"/>
              <w:left w:w="90" w:type="dxa"/>
              <w:bottom w:w="90" w:type="dxa"/>
              <w:right w:w="90" w:type="dxa"/>
            </w:tcMar>
            <w:vAlign w:val="center"/>
          </w:tcPr>
          <w:p w14:paraId="0679C9ED" w14:textId="77777777" w:rsidR="000C4F02" w:rsidRDefault="00464D5F">
            <w:pPr>
              <w:spacing w:line="228" w:lineRule="auto"/>
              <w:jc w:val="center"/>
            </w:pPr>
            <w:r>
              <w:rPr>
                <w:b/>
                <w:color w:val="FFFFFF"/>
                <w:sz w:val="16"/>
              </w:rPr>
              <w:t>Références</w:t>
            </w:r>
          </w:p>
        </w:tc>
      </w:tr>
      <w:tr w:rsidR="000C4F02" w14:paraId="29E7E079"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1C6127B8" w14:textId="77777777" w:rsidR="000C4F02" w:rsidRDefault="00464D5F">
            <w:pPr>
              <w:spacing w:line="226" w:lineRule="auto"/>
            </w:pPr>
            <w:r>
              <w:rPr>
                <w:b/>
                <w:color w:val="4B0A78"/>
                <w:sz w:val="16"/>
              </w:rPr>
              <w:t>Administration PPM</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563D8879" w14:textId="77777777" w:rsidR="000C4F02" w:rsidRDefault="00464D5F">
            <w:pPr>
              <w:spacing w:line="226" w:lineRule="auto"/>
            </w:pPr>
            <w:r>
              <w:rPr>
                <w:sz w:val="16"/>
              </w:rPr>
              <w:t>Clarity PPM : ressources, affectations, projets, feuilles de temps, calendriers, charges, données budgétaires, extractions, contrôles, corrections et accompagnement utilisateurs. Open Workbench : débutant.</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11A96081" w14:textId="77777777" w:rsidR="000C4F02" w:rsidRDefault="00464D5F">
            <w:pPr>
              <w:spacing w:line="226" w:lineRule="auto"/>
            </w:pPr>
            <w:r>
              <w:rPr>
                <w:sz w:val="16"/>
              </w:rPr>
              <w:t>BNP Paribas</w:t>
            </w:r>
          </w:p>
        </w:tc>
      </w:tr>
      <w:tr w:rsidR="000C4F02" w14:paraId="4B8BA8FB"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F9B50DB" w14:textId="77777777" w:rsidR="000C4F02" w:rsidRDefault="00464D5F">
            <w:pPr>
              <w:spacing w:line="226" w:lineRule="auto"/>
            </w:pPr>
            <w:r>
              <w:rPr>
                <w:b/>
                <w:color w:val="4B0A78"/>
                <w:sz w:val="16"/>
              </w:rPr>
              <w:t>Plan de charge &amp; capacité</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4479C5AA" w14:textId="77777777" w:rsidR="000C4F02" w:rsidRDefault="00464D5F">
            <w:pPr>
              <w:spacing w:line="226" w:lineRule="auto"/>
            </w:pPr>
            <w:r>
              <w:rPr>
                <w:sz w:val="16"/>
              </w:rPr>
              <w:t>Plan annuel et consolidation multi-directions, capacity planning, allocation, surcharges, sous-charges, ressources critiques, scénarios et arbitrages capacitaires.</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0EA0D803" w14:textId="77777777" w:rsidR="000C4F02" w:rsidRDefault="00464D5F">
            <w:pPr>
              <w:spacing w:line="226" w:lineRule="auto"/>
            </w:pPr>
            <w:r>
              <w:rPr>
                <w:sz w:val="16"/>
              </w:rPr>
              <w:t>ADP, La France Mutualiste, CNAM</w:t>
            </w:r>
          </w:p>
        </w:tc>
      </w:tr>
      <w:tr w:rsidR="000C4F02" w14:paraId="46120A5E"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47DE805F" w14:textId="77777777" w:rsidR="000C4F02" w:rsidRDefault="00464D5F">
            <w:pPr>
              <w:spacing w:line="226" w:lineRule="auto"/>
            </w:pPr>
            <w:r>
              <w:rPr>
                <w:b/>
                <w:color w:val="4B0A78"/>
                <w:sz w:val="16"/>
              </w:rPr>
              <w:t>Pilotage budgétaire</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3DEF9886" w14:textId="77777777" w:rsidR="000C4F02" w:rsidRDefault="00464D5F">
            <w:pPr>
              <w:spacing w:line="226" w:lineRule="auto"/>
            </w:pPr>
            <w:r>
              <w:rPr>
                <w:sz w:val="16"/>
              </w:rPr>
              <w:t>Consommé, RAF, réestimé, prévisionnel, atterrissage, analyse des écarts, maquettes budgétaires et contrôle des imputations.</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2BBB289E" w14:textId="77777777" w:rsidR="000C4F02" w:rsidRDefault="00464D5F">
            <w:pPr>
              <w:spacing w:line="226" w:lineRule="auto"/>
            </w:pPr>
            <w:r>
              <w:rPr>
                <w:sz w:val="16"/>
              </w:rPr>
              <w:t>CNAM, La France Mutualiste, Malakoff Humanis</w:t>
            </w:r>
          </w:p>
        </w:tc>
      </w:tr>
      <w:tr w:rsidR="000C4F02" w14:paraId="287D9B84"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D24913D" w14:textId="77777777" w:rsidR="000C4F02" w:rsidRDefault="00464D5F">
            <w:pPr>
              <w:spacing w:line="226" w:lineRule="auto"/>
            </w:pPr>
            <w:r>
              <w:rPr>
                <w:b/>
                <w:color w:val="4B0A78"/>
                <w:sz w:val="16"/>
              </w:rPr>
              <w:t>Contrôle de gestion</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EE4A9E0" w14:textId="77777777" w:rsidR="000C4F02" w:rsidRDefault="00464D5F">
            <w:pPr>
              <w:spacing w:line="226" w:lineRule="auto"/>
            </w:pPr>
            <w:r>
              <w:rPr>
                <w:sz w:val="16"/>
              </w:rPr>
              <w:t>Arrêtés mensuels, clôtures, reporting financier, suivi des budgets et préparation des supports de type Cockpit.</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6555D29C" w14:textId="77777777" w:rsidR="000C4F02" w:rsidRDefault="00464D5F">
            <w:pPr>
              <w:spacing w:line="226" w:lineRule="auto"/>
            </w:pPr>
            <w:r>
              <w:rPr>
                <w:sz w:val="16"/>
              </w:rPr>
              <w:t>CNAM, BNP Paribas, La France Mutualiste</w:t>
            </w:r>
          </w:p>
        </w:tc>
      </w:tr>
      <w:tr w:rsidR="000C4F02" w14:paraId="3BE07901"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75C3DF8E" w14:textId="77777777" w:rsidR="000C4F02" w:rsidRDefault="00464D5F">
            <w:pPr>
              <w:spacing w:line="226" w:lineRule="auto"/>
            </w:pPr>
            <w:r>
              <w:rPr>
                <w:b/>
                <w:color w:val="4B0A78"/>
                <w:sz w:val="16"/>
              </w:rPr>
              <w:t>Méthode ABC</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76644B29" w14:textId="77777777" w:rsidR="000C4F02" w:rsidRDefault="00464D5F">
            <w:pPr>
              <w:spacing w:line="226" w:lineRule="auto"/>
            </w:pPr>
            <w:r>
              <w:rPr>
                <w:sz w:val="16"/>
              </w:rPr>
              <w:t>Ventilation des charges et coûts par ressources, activités, services, projets et axes analytiques ; connaissances méthodologiques à rafraîchir.</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00A4586A" w14:textId="77777777" w:rsidR="000C4F02" w:rsidRDefault="00464D5F">
            <w:pPr>
              <w:spacing w:line="226" w:lineRule="auto"/>
            </w:pPr>
            <w:r>
              <w:rPr>
                <w:sz w:val="16"/>
              </w:rPr>
              <w:t>Parcours PMO / formation Finance</w:t>
            </w:r>
          </w:p>
        </w:tc>
      </w:tr>
      <w:tr w:rsidR="000C4F02" w14:paraId="61725762"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D8EF26F" w14:textId="77777777" w:rsidR="000C4F02" w:rsidRDefault="00464D5F">
            <w:pPr>
              <w:spacing w:line="226" w:lineRule="auto"/>
            </w:pPr>
            <w:r>
              <w:rPr>
                <w:b/>
                <w:color w:val="4B0A78"/>
                <w:sz w:val="16"/>
              </w:rPr>
              <w:t>Reporting &amp; data</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5FF74DCF" w14:textId="77777777" w:rsidR="000C4F02" w:rsidRDefault="00464D5F">
            <w:pPr>
              <w:spacing w:line="226" w:lineRule="auto"/>
            </w:pPr>
            <w:r>
              <w:rPr>
                <w:sz w:val="16"/>
              </w:rPr>
              <w:t>Excel avancé, TCD, fonctions complexes, VBA, macros, Access, Power BI, KPI/OKR et tableaux de bord décisionnels.</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2D70F4F6" w14:textId="77777777" w:rsidR="000C4F02" w:rsidRDefault="00464D5F">
            <w:pPr>
              <w:spacing w:line="226" w:lineRule="auto"/>
            </w:pPr>
            <w:r>
              <w:rPr>
                <w:sz w:val="16"/>
              </w:rPr>
              <w:t>ADP, CNAM, La France Mutualiste</w:t>
            </w:r>
          </w:p>
        </w:tc>
      </w:tr>
      <w:tr w:rsidR="000C4F02" w14:paraId="587DEFE4"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7A8F3885" w14:textId="45E1AD7F" w:rsidR="000C4F02" w:rsidRDefault="00464D5F" w:rsidP="00140808">
            <w:pPr>
              <w:spacing w:line="226" w:lineRule="auto"/>
              <w:jc w:val="left"/>
            </w:pPr>
            <w:r>
              <w:rPr>
                <w:b/>
                <w:color w:val="4B0A78"/>
                <w:sz w:val="16"/>
              </w:rPr>
              <w:t>Gouvernance</w:t>
            </w:r>
            <w:r w:rsidR="00140808">
              <w:rPr>
                <w:b/>
                <w:color w:val="4B0A78"/>
                <w:sz w:val="16"/>
              </w:rPr>
              <w:t xml:space="preserve"> </w:t>
            </w:r>
            <w:r>
              <w:rPr>
                <w:b/>
                <w:color w:val="4B0A78"/>
                <w:sz w:val="16"/>
              </w:rPr>
              <w:t>de portefeuille</w:t>
            </w:r>
          </w:p>
        </w:tc>
        <w:tc>
          <w:tcPr>
            <w:tcW w:w="4932"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63783210" w14:textId="77777777" w:rsidR="000C4F02" w:rsidRDefault="00464D5F">
            <w:pPr>
              <w:spacing w:line="226" w:lineRule="auto"/>
            </w:pPr>
            <w:r>
              <w:rPr>
                <w:sz w:val="16"/>
              </w:rPr>
              <w:t>COMEX, CODIR, COPIL, COPROJ, COSTREAM, revues de portefeuille, comités Roadmap et capacitaires, risques et dépendances.</w:t>
            </w:r>
          </w:p>
        </w:tc>
        <w:tc>
          <w:tcPr>
            <w:tcW w:w="2098" w:type="dxa"/>
            <w:tcBorders>
              <w:top w:val="single" w:sz="4" w:space="0" w:color="D9D9D9"/>
              <w:left w:val="single" w:sz="4" w:space="0" w:color="D9D9D9"/>
              <w:bottom w:val="single" w:sz="4" w:space="0" w:color="D9D9D9"/>
              <w:right w:val="single" w:sz="4" w:space="0" w:color="D9D9D9"/>
            </w:tcBorders>
            <w:shd w:val="clear" w:color="auto" w:fill="F8F5FA"/>
            <w:tcMar>
              <w:top w:w="80" w:type="dxa"/>
              <w:left w:w="90" w:type="dxa"/>
              <w:bottom w:w="80" w:type="dxa"/>
              <w:right w:w="90" w:type="dxa"/>
            </w:tcMar>
          </w:tcPr>
          <w:p w14:paraId="15257172" w14:textId="77777777" w:rsidR="000C4F02" w:rsidRDefault="00464D5F">
            <w:pPr>
              <w:spacing w:line="226" w:lineRule="auto"/>
            </w:pPr>
            <w:r>
              <w:rPr>
                <w:sz w:val="16"/>
              </w:rPr>
              <w:t>CDC, ADP, Malakoff Humanis, LFM</w:t>
            </w:r>
          </w:p>
        </w:tc>
      </w:tr>
      <w:tr w:rsidR="000C4F02" w14:paraId="0AA296E2" w14:textId="77777777">
        <w:trPr>
          <w:cantSplit/>
          <w:jc w:val="center"/>
        </w:trPr>
        <w:tc>
          <w:tcPr>
            <w:tcW w:w="22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7268D09F" w14:textId="77777777" w:rsidR="000C4F02" w:rsidRDefault="00464D5F">
            <w:pPr>
              <w:spacing w:line="226" w:lineRule="auto"/>
            </w:pPr>
            <w:r>
              <w:rPr>
                <w:b/>
                <w:color w:val="4B0A78"/>
                <w:sz w:val="16"/>
              </w:rPr>
              <w:t>Conduite du changement</w:t>
            </w:r>
          </w:p>
        </w:tc>
        <w:tc>
          <w:tcPr>
            <w:tcW w:w="4932"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3A1858F3" w14:textId="77777777" w:rsidR="000C4F02" w:rsidRDefault="00464D5F">
            <w:pPr>
              <w:spacing w:line="226" w:lineRule="auto"/>
            </w:pPr>
            <w:r>
              <w:rPr>
                <w:sz w:val="16"/>
              </w:rPr>
              <w:t>Accompagnement des équipes projet, formalisation des processus, support aux utilisateurs et animation de communautés de pratiques.</w:t>
            </w:r>
          </w:p>
        </w:tc>
        <w:tc>
          <w:tcPr>
            <w:tcW w:w="2098" w:type="dxa"/>
            <w:tcBorders>
              <w:top w:val="single" w:sz="4" w:space="0" w:color="D9D9D9"/>
              <w:left w:val="single" w:sz="4" w:space="0" w:color="D9D9D9"/>
              <w:bottom w:val="single" w:sz="4" w:space="0" w:color="D9D9D9"/>
              <w:right w:val="single" w:sz="4" w:space="0" w:color="D9D9D9"/>
            </w:tcBorders>
            <w:shd w:val="clear" w:color="auto" w:fill="FFFFFF"/>
            <w:tcMar>
              <w:top w:w="80" w:type="dxa"/>
              <w:left w:w="90" w:type="dxa"/>
              <w:bottom w:w="80" w:type="dxa"/>
              <w:right w:w="90" w:type="dxa"/>
            </w:tcMar>
          </w:tcPr>
          <w:p w14:paraId="53193F6A" w14:textId="77777777" w:rsidR="000C4F02" w:rsidRDefault="00464D5F">
            <w:pPr>
              <w:spacing w:line="226" w:lineRule="auto"/>
            </w:pPr>
            <w:r>
              <w:rPr>
                <w:sz w:val="16"/>
              </w:rPr>
              <w:t>ADP, Malakoff Humanis, AP-HP</w:t>
            </w:r>
          </w:p>
        </w:tc>
      </w:tr>
    </w:tbl>
    <w:p w14:paraId="1A83199F" w14:textId="77777777" w:rsidR="000C4F02" w:rsidRDefault="000C4F02">
      <w:pPr>
        <w:spacing w:after="20"/>
      </w:pPr>
    </w:p>
    <w:p w14:paraId="21DE480D" w14:textId="77777777" w:rsidR="009628C6" w:rsidRDefault="009628C6">
      <w:pPr>
        <w:spacing w:after="20"/>
      </w:pPr>
    </w:p>
    <w:p w14:paraId="327AA11C"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6192" behindDoc="0" locked="0" layoutInCell="1" allowOverlap="1" wp14:anchorId="79497990" wp14:editId="12C97B0F">
                <wp:simplePos x="0" y="0"/>
                <wp:positionH relativeFrom="margin">
                  <wp:posOffset>31750</wp:posOffset>
                </wp:positionH>
                <wp:positionV relativeFrom="paragraph">
                  <wp:posOffset>8255</wp:posOffset>
                </wp:positionV>
                <wp:extent cx="6165850" cy="233680"/>
                <wp:effectExtent l="0" t="0" r="25400" b="13970"/>
                <wp:wrapNone/>
                <wp:docPr id="2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3" name="Groupe 53"/>
                        <wpg:cNvGrpSpPr/>
                        <wpg:grpSpPr>
                          <a:xfrm>
                            <a:off x="0" y="7315"/>
                            <a:ext cx="6165850" cy="217845"/>
                            <a:chOff x="1" y="80592"/>
                            <a:chExt cx="6166002" cy="218486"/>
                          </a:xfrm>
                        </wpg:grpSpPr>
                        <wps:wsp>
                          <wps:cNvPr id="2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298D96"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62B61A60" w14:textId="77777777" w:rsidR="000C4F02" w:rsidRDefault="00464D5F">
                              <w:pPr>
                                <w:rPr>
                                  <w:b/>
                                  <w:bCs/>
                                  <w:color w:val="FFFFFF" w:themeColor="background1"/>
                                </w:rPr>
                              </w:pPr>
                              <w:r>
                                <w:rPr>
                                  <w:b/>
                                  <w:bCs/>
                                  <w:color w:val="FFFFFF" w:themeColor="background1"/>
                                </w:rPr>
                                <w:t>ENVIRONNEMENT TECHNIQUE ET MÉTHODOLOGIQUE</w:t>
                              </w:r>
                            </w:p>
                          </w:txbxContent>
                        </wps:txbx>
                        <wps:bodyPr rot="0" vert="horz" wrap="square" lIns="91440" tIns="45720" rIns="91440" bIns="45720" anchor="t" anchorCtr="0">
                          <a:noAutofit/>
                        </wps:bodyPr>
                      </wps:wsp>
                    </wpg:wgp>
                  </a:graphicData>
                </a:graphic>
              </wp:anchor>
            </w:drawing>
          </mc:Choice>
          <mc:Fallback>
            <w:pict>
              <v:group w14:anchorId="79497990" id="_x0000_s1052" alt="Titre de section : ANALYSE TILENCIA" style="position:absolute;margin-left:2.5pt;margin-top:.65pt;width:485.5pt;height:18.4pt;z-index:25165619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">
                <v:group id="Groupe 53" o:spid="_x0000_s105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Rectangle : avec coin rogné 54" o:spid="_x0000_s105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29298D96" w14:textId="77777777" w:rsidR="000C4F02" w:rsidRDefault="000C4F02">
                          <w:pPr>
                            <w:jc w:val="left"/>
                            <w:rPr>
                              <w:b/>
                              <w:bCs/>
                              <w:szCs w:val="18"/>
                            </w:rPr>
                          </w:pPr>
                        </w:p>
                      </w:txbxContent>
                    </v:textbox>
                  </v:shape>
                  <v:line id="Connecteur droit 55" o:spid="_x0000_s105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" strokecolor="#4b0a78" strokeweight="2.25pt"/>
                </v:group>
                <v:shape id="Zone de texte 2" o:spid="_x0000_s105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" filled="f" stroked="f">
                  <v:textbox>
                    <w:txbxContent>
                      <w:p w14:paraId="62B61A60" w14:textId="77777777" w:rsidR="000C4F02" w:rsidRDefault="00464D5F">
                        <w:pPr>
                          <w:rPr>
                            <w:b/>
                            <w:bCs/>
                            <w:color w:val="FFFFFF" w:themeColor="background1"/>
                          </w:rPr>
                        </w:pPr>
                        <w:r>
                          <w:rPr>
                            <w:b/>
                            <w:bCs/>
                            <w:color w:val="FFFFFF" w:themeColor="background1"/>
                          </w:rPr>
                          <w:t>ENVIRONNEMENT TECHNIQUE ET MÉTHODOLOGIQUE</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098"/>
        <w:gridCol w:w="7200"/>
      </w:tblGrid>
      <w:tr w:rsidR="000C4F02" w14:paraId="15494DF9"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2583796E" w14:textId="77777777" w:rsidR="000C4F02" w:rsidRDefault="00464D5F">
            <w:pPr>
              <w:spacing w:line="228" w:lineRule="auto"/>
            </w:pPr>
            <w:r>
              <w:rPr>
                <w:b/>
                <w:color w:val="4B0A78"/>
                <w:sz w:val="17"/>
              </w:rPr>
              <w:t>PPM / planification</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FD624A9" w14:textId="77777777" w:rsidR="000C4F02" w:rsidRDefault="00464D5F">
            <w:pPr>
              <w:spacing w:line="228" w:lineRule="auto"/>
            </w:pPr>
            <w:r>
              <w:rPr>
                <w:sz w:val="17"/>
              </w:rPr>
              <w:t>Clarity PPM, Open Workbench, Sciforma, NQI Orchestra, Artemis et Microsoft Project</w:t>
            </w:r>
          </w:p>
        </w:tc>
      </w:tr>
      <w:tr w:rsidR="000C4F02" w14:paraId="40B3A43E"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3841167C" w14:textId="77777777" w:rsidR="000C4F02" w:rsidRDefault="00464D5F">
            <w:pPr>
              <w:spacing w:line="228" w:lineRule="auto"/>
            </w:pPr>
            <w:r>
              <w:rPr>
                <w:b/>
                <w:color w:val="4B0A78"/>
                <w:sz w:val="17"/>
              </w:rPr>
              <w:t>Reporting / data</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4086266" w14:textId="39BA77B2" w:rsidR="000C4F02" w:rsidRDefault="00464D5F">
            <w:pPr>
              <w:spacing w:line="228" w:lineRule="auto"/>
            </w:pPr>
            <w:r>
              <w:rPr>
                <w:sz w:val="17"/>
              </w:rPr>
              <w:t>Excel avancé, TCD, fonctions complexes, VBA, macros, Access, Power BI et PowerPoint</w:t>
            </w:r>
          </w:p>
        </w:tc>
      </w:tr>
      <w:tr w:rsidR="000C4F02" w14:paraId="34EEC15D"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46B0B969" w14:textId="77777777" w:rsidR="000C4F02" w:rsidRDefault="00464D5F">
            <w:pPr>
              <w:spacing w:line="228" w:lineRule="auto"/>
            </w:pPr>
            <w:r>
              <w:rPr>
                <w:b/>
                <w:color w:val="4B0A78"/>
                <w:sz w:val="17"/>
              </w:rPr>
              <w:t>Collaboration</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4C5D7A6" w14:textId="77777777" w:rsidR="000C4F02" w:rsidRDefault="00464D5F">
            <w:pPr>
              <w:spacing w:line="228" w:lineRule="auto"/>
            </w:pPr>
            <w:r>
              <w:rPr>
                <w:sz w:val="17"/>
              </w:rPr>
              <w:t>Jira, Confluence, SharePoint et Office 365</w:t>
            </w:r>
          </w:p>
        </w:tc>
      </w:tr>
      <w:tr w:rsidR="000C4F02" w14:paraId="782897CA"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467CE041" w14:textId="77777777" w:rsidR="000C4F02" w:rsidRDefault="00464D5F">
            <w:pPr>
              <w:spacing w:line="228" w:lineRule="auto"/>
            </w:pPr>
            <w:r>
              <w:rPr>
                <w:b/>
                <w:color w:val="4B0A78"/>
                <w:sz w:val="17"/>
              </w:rPr>
              <w:t>Méthodes</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FB404CA" w14:textId="77777777" w:rsidR="000C4F02" w:rsidRDefault="00464D5F">
            <w:pPr>
              <w:spacing w:line="228" w:lineRule="auto"/>
            </w:pPr>
            <w:r>
              <w:rPr>
                <w:sz w:val="17"/>
              </w:rPr>
              <w:t>PMI / PMBOK, ITIL, CMMI, Cycle en V, Scrum, Kanban, Lean Portfolio Management et RACI</w:t>
            </w:r>
          </w:p>
        </w:tc>
      </w:tr>
      <w:tr w:rsidR="000C4F02" w14:paraId="2F299FF4"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48541B7D" w14:textId="77777777" w:rsidR="000C4F02" w:rsidRDefault="00464D5F">
            <w:pPr>
              <w:spacing w:line="228" w:lineRule="auto"/>
            </w:pPr>
            <w:r>
              <w:rPr>
                <w:b/>
                <w:color w:val="4B0A78"/>
                <w:sz w:val="17"/>
              </w:rPr>
              <w:t>Pilotage</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DAF7508" w14:textId="77777777" w:rsidR="000C4F02" w:rsidRDefault="00464D5F">
            <w:pPr>
              <w:spacing w:line="228" w:lineRule="auto"/>
            </w:pPr>
            <w:r>
              <w:rPr>
                <w:sz w:val="17"/>
              </w:rPr>
              <w:t>KPI/OKR, risques, dépendances, plans d’action, COMEX/CODIR/COPIL/COPROJ, revues budgétaires et clôtures</w:t>
            </w:r>
          </w:p>
        </w:tc>
      </w:tr>
    </w:tbl>
    <w:p w14:paraId="6AEA2AA1" w14:textId="77777777" w:rsidR="000C4F02" w:rsidRDefault="000C4F02">
      <w:pPr>
        <w:spacing w:after="20"/>
      </w:pPr>
    </w:p>
    <w:p w14:paraId="34725E45" w14:textId="77777777" w:rsidR="000C4F02" w:rsidRDefault="00464D5F">
      <w:r>
        <w:br w:type="page"/>
      </w:r>
    </w:p>
    <w:p w14:paraId="2297599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7216" behindDoc="0" locked="0" layoutInCell="1" allowOverlap="1" wp14:anchorId="568297BC" wp14:editId="6B03E45B">
                <wp:simplePos x="0" y="0"/>
                <wp:positionH relativeFrom="margin">
                  <wp:posOffset>31750</wp:posOffset>
                </wp:positionH>
                <wp:positionV relativeFrom="paragraph">
                  <wp:posOffset>8255</wp:posOffset>
                </wp:positionV>
                <wp:extent cx="6165850" cy="233680"/>
                <wp:effectExtent l="0" t="0" r="25400" b="13970"/>
                <wp:wrapNone/>
                <wp:docPr id="2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8" name="Groupe 53"/>
                        <wpg:cNvGrpSpPr/>
                        <wpg:grpSpPr>
                          <a:xfrm>
                            <a:off x="0" y="7315"/>
                            <a:ext cx="6165850" cy="217845"/>
                            <a:chOff x="1" y="80592"/>
                            <a:chExt cx="6166002" cy="218486"/>
                          </a:xfrm>
                        </wpg:grpSpPr>
                        <wps:wsp>
                          <wps:cNvPr id="2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4F4692"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3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96A6256" w14:textId="77777777" w:rsidR="000C4F02" w:rsidRDefault="00464D5F">
                              <w:pPr>
                                <w:rPr>
                                  <w:b/>
                                  <w:bCs/>
                                  <w:color w:val="FFFFFF" w:themeColor="background1"/>
                                </w:rPr>
                              </w:pPr>
                              <w:r>
                                <w:rPr>
                                  <w:b/>
                                  <w:bCs/>
                                  <w:color w:val="FFFFFF" w:themeColor="background1"/>
                                </w:rPr>
                                <w:t>CONTRIBUTION PROPOSÉE À LA MISSION</w:t>
                              </w:r>
                            </w:p>
                          </w:txbxContent>
                        </wps:txbx>
                        <wps:bodyPr rot="0" vert="horz" wrap="square" lIns="91440" tIns="45720" rIns="91440" bIns="45720" anchor="t" anchorCtr="0">
                          <a:noAutofit/>
                        </wps:bodyPr>
                      </wps:wsp>
                    </wpg:wgp>
                  </a:graphicData>
                </a:graphic>
              </wp:anchor>
            </w:drawing>
          </mc:Choice>
          <mc:Fallback>
            <w:pict>
              <v:group w14:anchorId="568297BC" id="_x0000_s1057" alt="Titre de section : ANALYSE TILENCIA" style="position:absolute;margin-left:2.5pt;margin-top:.65pt;width:485.5pt;height:18.4pt;z-index:25165721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">
                <v:group id="Groupe 53" o:spid="_x0000_s105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Rectangle : avec coin rogné 54" o:spid="_x0000_s105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84F4692" w14:textId="77777777" w:rsidR="000C4F02" w:rsidRDefault="000C4F02">
                          <w:pPr>
                            <w:jc w:val="left"/>
                            <w:rPr>
                              <w:b/>
                              <w:bCs/>
                              <w:szCs w:val="18"/>
                            </w:rPr>
                          </w:pPr>
                        </w:p>
                      </w:txbxContent>
                    </v:textbox>
                  </v:shape>
                  <v:line id="Connecteur droit 55" o:spid="_x0000_s106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" strokecolor="#4b0a78" strokeweight="2.25pt"/>
                </v:group>
                <v:shape id="Zone de texte 2" o:spid="_x0000_s106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396A6256" w14:textId="77777777" w:rsidR="000C4F02" w:rsidRDefault="00464D5F">
                        <w:pPr>
                          <w:rPr>
                            <w:b/>
                            <w:bCs/>
                            <w:color w:val="FFFFFF" w:themeColor="background1"/>
                          </w:rPr>
                        </w:pPr>
                        <w:r>
                          <w:rPr>
                            <w:b/>
                            <w:bCs/>
                            <w:color w:val="FFFFFF" w:themeColor="background1"/>
                          </w:rPr>
                          <w:t>CONTRIBUTION PROPOSÉE À LA MISSION</w:t>
                        </w:r>
                      </w:p>
                    </w:txbxContent>
                  </v:textbox>
                </v:shape>
                <w10:wrap anchorx="margin"/>
              </v:group>
            </w:pict>
          </mc:Fallback>
        </mc:AlternateContent>
      </w:r>
    </w:p>
    <w:p w14:paraId="23554F4D" w14:textId="77777777" w:rsidR="000C4F02" w:rsidRDefault="00464D5F">
      <w:pPr>
        <w:keepNext/>
        <w:spacing w:after="40"/>
      </w:pPr>
      <w:r>
        <w:rPr>
          <w:b/>
          <w:color w:val="4B0A78"/>
          <w:sz w:val="21"/>
        </w:rPr>
        <w:t>1. Prise en main et sécurisation du dispositif</w:t>
      </w:r>
    </w:p>
    <w:p w14:paraId="1ACFF519" w14:textId="77777777" w:rsidR="000C4F02" w:rsidRDefault="00464D5F">
      <w:pPr>
        <w:spacing w:after="20" w:line="230" w:lineRule="auto"/>
        <w:ind w:left="255" w:hanging="142"/>
      </w:pPr>
      <w:r>
        <w:rPr>
          <w:color w:val="4B0A78"/>
        </w:rPr>
        <w:t xml:space="preserve">• </w:t>
      </w:r>
      <w:r>
        <w:t>Cartographier les processus existants, les calendriers d’arrêté, les sources de données et les responsabilités des différents contributeurs.</w:t>
      </w:r>
    </w:p>
    <w:p w14:paraId="36FA756F" w14:textId="77777777" w:rsidR="000C4F02" w:rsidRDefault="00464D5F">
      <w:pPr>
        <w:spacing w:after="20" w:line="230" w:lineRule="auto"/>
        <w:ind w:left="255" w:hanging="142"/>
      </w:pPr>
      <w:r>
        <w:rPr>
          <w:color w:val="4B0A78"/>
        </w:rPr>
        <w:t xml:space="preserve">• </w:t>
      </w:r>
      <w:r>
        <w:t>Prendre en main Clarity PPM, Open Workbench et les outils de reporting utilisés par l’équipe Plan de charge.</w:t>
      </w:r>
    </w:p>
    <w:p w14:paraId="4177E363" w14:textId="77777777" w:rsidR="000C4F02" w:rsidRDefault="00464D5F">
      <w:pPr>
        <w:spacing w:after="20" w:line="230" w:lineRule="auto"/>
        <w:ind w:left="255" w:hanging="142"/>
      </w:pPr>
      <w:r>
        <w:rPr>
          <w:color w:val="4B0A78"/>
        </w:rPr>
        <w:t xml:space="preserve">• </w:t>
      </w:r>
      <w:r>
        <w:t>Identifier les contrôles prioritaires, les données critiques et les points de fragilité susceptibles d’affecter la qualité des arrêtés.</w:t>
      </w:r>
    </w:p>
    <w:p w14:paraId="2F5B326B" w14:textId="77777777" w:rsidR="000C4F02" w:rsidRDefault="00464D5F">
      <w:pPr>
        <w:keepNext/>
        <w:spacing w:before="100" w:after="40"/>
      </w:pPr>
      <w:r>
        <w:rPr>
          <w:b/>
          <w:color w:val="4B0A78"/>
          <w:sz w:val="21"/>
        </w:rPr>
        <w:t>2. Administration récurrente du plan de charge</w:t>
      </w:r>
    </w:p>
    <w:p w14:paraId="58AA0A76" w14:textId="77777777" w:rsidR="000C4F02" w:rsidRDefault="00464D5F">
      <w:pPr>
        <w:spacing w:after="20" w:line="230" w:lineRule="auto"/>
        <w:ind w:left="255" w:hanging="142"/>
      </w:pPr>
      <w:r>
        <w:rPr>
          <w:color w:val="4B0A78"/>
        </w:rPr>
        <w:t xml:space="preserve">• </w:t>
      </w:r>
      <w:r>
        <w:t>Collecter et consolider les besoins en charge et les affectations des ressources internes et externes.</w:t>
      </w:r>
    </w:p>
    <w:p w14:paraId="0E6037AC" w14:textId="77777777" w:rsidR="000C4F02" w:rsidRDefault="00464D5F">
      <w:pPr>
        <w:spacing w:after="20" w:line="230" w:lineRule="auto"/>
        <w:ind w:left="255" w:hanging="142"/>
      </w:pPr>
      <w:r>
        <w:rPr>
          <w:color w:val="4B0A78"/>
        </w:rPr>
        <w:t xml:space="preserve">• </w:t>
      </w:r>
      <w:r>
        <w:t>Contrôler les feuilles de temps, les capacités, les consommés, le RAF, le prévisionnel et les atterrissages.</w:t>
      </w:r>
    </w:p>
    <w:p w14:paraId="1C447D0E" w14:textId="77777777" w:rsidR="000C4F02" w:rsidRDefault="00464D5F">
      <w:pPr>
        <w:spacing w:after="20" w:line="230" w:lineRule="auto"/>
        <w:ind w:left="255" w:hanging="142"/>
      </w:pPr>
      <w:r>
        <w:rPr>
          <w:color w:val="4B0A78"/>
        </w:rPr>
        <w:t xml:space="preserve">• </w:t>
      </w:r>
      <w:r>
        <w:t>Analyser les incohérences, organiser les relances et assurer la traçabilité des corrections.</w:t>
      </w:r>
    </w:p>
    <w:p w14:paraId="0A7E4513" w14:textId="77777777" w:rsidR="000C4F02" w:rsidRDefault="00464D5F">
      <w:pPr>
        <w:keepNext/>
        <w:spacing w:before="100" w:after="40"/>
      </w:pPr>
      <w:r>
        <w:rPr>
          <w:b/>
          <w:color w:val="4B0A78"/>
          <w:sz w:val="21"/>
        </w:rPr>
        <w:t>3. Arrêtés mensuels et pilotage budgétaire</w:t>
      </w:r>
    </w:p>
    <w:p w14:paraId="292CAC37" w14:textId="77777777" w:rsidR="000C4F02" w:rsidRDefault="00464D5F">
      <w:pPr>
        <w:spacing w:after="20" w:line="230" w:lineRule="auto"/>
        <w:ind w:left="255" w:hanging="142"/>
      </w:pPr>
      <w:r>
        <w:rPr>
          <w:color w:val="4B0A78"/>
        </w:rPr>
        <w:t xml:space="preserve">• </w:t>
      </w:r>
      <w:r>
        <w:t>Préparer les données d’arrêté et rapprocher les informations PPM avec les éléments Finance et Contrôle de gestion.</w:t>
      </w:r>
    </w:p>
    <w:p w14:paraId="31D78A4E" w14:textId="77777777" w:rsidR="000C4F02" w:rsidRDefault="00464D5F">
      <w:pPr>
        <w:spacing w:after="20" w:line="230" w:lineRule="auto"/>
        <w:ind w:left="255" w:hanging="142"/>
      </w:pPr>
      <w:r>
        <w:rPr>
          <w:color w:val="4B0A78"/>
        </w:rPr>
        <w:t xml:space="preserve">• </w:t>
      </w:r>
      <w:r>
        <w:t>Analyser les écarts, documenter les justifications et préparer les supports de revue budgétaire et de type Cockpit.</w:t>
      </w:r>
    </w:p>
    <w:p w14:paraId="34E1A163" w14:textId="77777777" w:rsidR="000C4F02" w:rsidRDefault="00464D5F">
      <w:pPr>
        <w:spacing w:after="20" w:line="230" w:lineRule="auto"/>
        <w:ind w:left="255" w:hanging="142"/>
      </w:pPr>
      <w:r>
        <w:rPr>
          <w:color w:val="4B0A78"/>
        </w:rPr>
        <w:t xml:space="preserve">• </w:t>
      </w:r>
      <w:r>
        <w:t>Mettre à jour les consommés, RAF, réestimés, prévisionnels et projections d’atterrissage.</w:t>
      </w:r>
    </w:p>
    <w:p w14:paraId="4EF91EA4" w14:textId="77777777" w:rsidR="000C4F02" w:rsidRDefault="00464D5F">
      <w:pPr>
        <w:keepNext/>
        <w:spacing w:before="100" w:after="40"/>
      </w:pPr>
      <w:r>
        <w:rPr>
          <w:b/>
          <w:color w:val="4B0A78"/>
          <w:sz w:val="21"/>
        </w:rPr>
        <w:t>4. Reporting, automatisation et amélioration continue</w:t>
      </w:r>
    </w:p>
    <w:p w14:paraId="461964F3" w14:textId="77777777" w:rsidR="000C4F02" w:rsidRDefault="00464D5F">
      <w:pPr>
        <w:spacing w:after="20" w:line="230" w:lineRule="auto"/>
        <w:ind w:left="255" w:hanging="142"/>
      </w:pPr>
      <w:r>
        <w:rPr>
          <w:color w:val="4B0A78"/>
        </w:rPr>
        <w:t xml:space="preserve">• </w:t>
      </w:r>
      <w:r>
        <w:t>Produire les tableaux de bord périodiques et les indicateurs de capacité, budget, jalons, risques et dépendances.</w:t>
      </w:r>
    </w:p>
    <w:p w14:paraId="5742A348" w14:textId="77777777" w:rsidR="000C4F02" w:rsidRDefault="00464D5F">
      <w:pPr>
        <w:spacing w:after="20" w:line="230" w:lineRule="auto"/>
        <w:ind w:left="255" w:hanging="142"/>
      </w:pPr>
      <w:r>
        <w:rPr>
          <w:color w:val="4B0A78"/>
        </w:rPr>
        <w:t xml:space="preserve">• </w:t>
      </w:r>
      <w:r>
        <w:t>Maintenir et faire évoluer les traitements Excel/VBA, les macros et les bases Access utilisées pour le reporting.</w:t>
      </w:r>
    </w:p>
    <w:p w14:paraId="327ED54D" w14:textId="77777777" w:rsidR="000C4F02" w:rsidRDefault="00464D5F">
      <w:pPr>
        <w:spacing w:after="20" w:line="230" w:lineRule="auto"/>
        <w:ind w:left="255" w:hanging="142"/>
      </w:pPr>
      <w:r>
        <w:rPr>
          <w:color w:val="4B0A78"/>
        </w:rPr>
        <w:t xml:space="preserve">• </w:t>
      </w:r>
      <w:r>
        <w:t>Faire évoluer les modes opératoires et proposer des contrôles ou indicateurs complémentaires.</w:t>
      </w:r>
    </w:p>
    <w:p w14:paraId="46C9C423" w14:textId="77777777" w:rsidR="000C4F02" w:rsidRDefault="00464D5F">
      <w:pPr>
        <w:keepNext/>
        <w:spacing w:before="100" w:after="40"/>
      </w:pPr>
      <w:r>
        <w:rPr>
          <w:b/>
          <w:color w:val="4B0A78"/>
          <w:sz w:val="21"/>
        </w:rPr>
        <w:t>5. Accompagnement des équipes</w:t>
      </w:r>
    </w:p>
    <w:p w14:paraId="45765266" w14:textId="77777777" w:rsidR="000C4F02" w:rsidRDefault="00464D5F">
      <w:pPr>
        <w:spacing w:after="20" w:line="230" w:lineRule="auto"/>
        <w:ind w:left="255" w:hanging="142"/>
      </w:pPr>
      <w:r>
        <w:rPr>
          <w:color w:val="4B0A78"/>
        </w:rPr>
        <w:t xml:space="preserve">• </w:t>
      </w:r>
      <w:r>
        <w:t>Accompagner les responsables de domaine, PMO et chefs de projet dans la saisie et l’interprétation des données.</w:t>
      </w:r>
    </w:p>
    <w:p w14:paraId="6743EB2B" w14:textId="77777777" w:rsidR="000C4F02" w:rsidRDefault="00464D5F">
      <w:pPr>
        <w:spacing w:after="20" w:line="230" w:lineRule="auto"/>
        <w:ind w:left="255" w:hanging="142"/>
      </w:pPr>
      <w:r>
        <w:rPr>
          <w:color w:val="4B0A78"/>
        </w:rPr>
        <w:t xml:space="preserve">• </w:t>
      </w:r>
      <w:r>
        <w:t>Former les contributeurs aux outils et procédures, produire les supports et sécuriser l’adoption des pratiques.</w:t>
      </w:r>
    </w:p>
    <w:p w14:paraId="33A1C1D7" w14:textId="77777777" w:rsidR="000C4F02" w:rsidRDefault="00464D5F">
      <w:pPr>
        <w:spacing w:after="20" w:line="230" w:lineRule="auto"/>
        <w:ind w:left="255" w:hanging="142"/>
      </w:pPr>
      <w:r>
        <w:rPr>
          <w:color w:val="4B0A78"/>
        </w:rPr>
        <w:t xml:space="preserve">• </w:t>
      </w:r>
      <w:r>
        <w:t>Alerter de manière proactive sur les risques de qualité, de délai ou de cohérence budgétaire.</w:t>
      </w:r>
    </w:p>
    <w:p w14:paraId="0693EDE2" w14:textId="77777777" w:rsidR="009628C6" w:rsidRDefault="009628C6">
      <w:pPr>
        <w:spacing w:after="20" w:line="230" w:lineRule="auto"/>
        <w:ind w:left="255" w:hanging="142"/>
      </w:pPr>
    </w:p>
    <w:p w14:paraId="19E807F7" w14:textId="77777777" w:rsidR="009628C6" w:rsidRDefault="009628C6">
      <w:pPr>
        <w:spacing w:after="20" w:line="230" w:lineRule="auto"/>
        <w:ind w:left="255" w:hanging="142"/>
      </w:pPr>
    </w:p>
    <w:p w14:paraId="5F961A30"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58240" behindDoc="0" locked="0" layoutInCell="1" allowOverlap="1" wp14:anchorId="0F5C67D4" wp14:editId="6707F1BA">
                <wp:simplePos x="0" y="0"/>
                <wp:positionH relativeFrom="margin">
                  <wp:posOffset>31750</wp:posOffset>
                </wp:positionH>
                <wp:positionV relativeFrom="paragraph">
                  <wp:posOffset>8255</wp:posOffset>
                </wp:positionV>
                <wp:extent cx="6165850" cy="233680"/>
                <wp:effectExtent l="0" t="0" r="25400" b="13970"/>
                <wp:wrapNone/>
                <wp:docPr id="3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3" name="Groupe 53"/>
                        <wpg:cNvGrpSpPr/>
                        <wpg:grpSpPr>
                          <a:xfrm>
                            <a:off x="0" y="7315"/>
                            <a:ext cx="6165850" cy="217845"/>
                            <a:chOff x="1" y="80592"/>
                            <a:chExt cx="6166002" cy="218486"/>
                          </a:xfrm>
                        </wpg:grpSpPr>
                        <wps:wsp>
                          <wps:cNvPr id="3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B7998C"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3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024BCBA9" w14:textId="77777777" w:rsidR="000C4F02" w:rsidRDefault="00464D5F">
                              <w:pPr>
                                <w:rPr>
                                  <w:b/>
                                  <w:bCs/>
                                  <w:color w:val="FFFFFF" w:themeColor="background1"/>
                                </w:rPr>
                              </w:pPr>
                              <w:r>
                                <w:rPr>
                                  <w:b/>
                                  <w:bCs/>
                                  <w:color w:val="FFFFFF" w:themeColor="background1"/>
                                </w:rPr>
                                <w:t>LIVRABLES MAÎTRISÉS</w:t>
                              </w:r>
                            </w:p>
                          </w:txbxContent>
                        </wps:txbx>
                        <wps:bodyPr rot="0" vert="horz" wrap="square" lIns="91440" tIns="45720" rIns="91440" bIns="45720" anchor="t" anchorCtr="0">
                          <a:noAutofit/>
                        </wps:bodyPr>
                      </wps:wsp>
                    </wpg:wgp>
                  </a:graphicData>
                </a:graphic>
              </wp:anchor>
            </w:drawing>
          </mc:Choice>
          <mc:Fallback>
            <w:pict>
              <v:group w14:anchorId="0F5C67D4" id="_x0000_s1062" alt="Titre de section : ANALYSE TILENCIA" style="position:absolute;margin-left:2.5pt;margin-top:.65pt;width:485.5pt;height:18.4pt;z-index:251658240;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">
                <v:group id="Groupe 53" o:spid="_x0000_s106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Rectangle : avec coin rogné 54" o:spid="_x0000_s106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01B7998C" w14:textId="77777777" w:rsidR="000C4F02" w:rsidRDefault="000C4F02">
                          <w:pPr>
                            <w:jc w:val="left"/>
                            <w:rPr>
                              <w:b/>
                              <w:bCs/>
                              <w:szCs w:val="18"/>
                            </w:rPr>
                          </w:pPr>
                        </w:p>
                      </w:txbxContent>
                    </v:textbox>
                  </v:shape>
                  <v:line id="Connecteur droit 55" o:spid="_x0000_s106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" strokecolor="#4b0a78" strokeweight="2.25pt"/>
                </v:group>
                <v:shape id="Zone de texte 2" o:spid="_x0000_s106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024BCBA9" w14:textId="77777777" w:rsidR="000C4F02" w:rsidRDefault="00464D5F">
                        <w:pPr>
                          <w:rPr>
                            <w:b/>
                            <w:bCs/>
                            <w:color w:val="FFFFFF" w:themeColor="background1"/>
                          </w:rPr>
                        </w:pPr>
                        <w:r>
                          <w:rPr>
                            <w:b/>
                            <w:bCs/>
                            <w:color w:val="FFFFFF" w:themeColor="background1"/>
                          </w:rPr>
                          <w:t>LIVRABLES MAÎTRISÉS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4592"/>
        <w:gridCol w:w="4592"/>
      </w:tblGrid>
      <w:tr w:rsidR="000C4F02" w14:paraId="29B4BDF6"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C778F69" w14:textId="77777777" w:rsidR="000C4F02" w:rsidRDefault="00464D5F">
            <w:pPr>
              <w:spacing w:after="60" w:line="228" w:lineRule="auto"/>
            </w:pPr>
            <w:r>
              <w:rPr>
                <w:b/>
                <w:color w:val="4B0A78"/>
              </w:rPr>
              <w:t>Reporting mensuel</w:t>
            </w:r>
          </w:p>
          <w:p w14:paraId="31C57F2B" w14:textId="77777777" w:rsidR="000C4F02" w:rsidRDefault="00464D5F">
            <w:pPr>
              <w:spacing w:line="228" w:lineRule="auto"/>
            </w:pPr>
            <w:r>
              <w:rPr>
                <w:sz w:val="17"/>
              </w:rPr>
              <w:t>Arrêtés, clôtures, consommés, RAF, réestimés, prévisionnels, atterrissages et analyses d’écarts.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00AC6E2A" w14:textId="77777777" w:rsidR="000C4F02" w:rsidRDefault="00464D5F">
            <w:pPr>
              <w:spacing w:after="60" w:line="228" w:lineRule="auto"/>
            </w:pPr>
            <w:r>
              <w:rPr>
                <w:b/>
                <w:color w:val="4B0A78"/>
              </w:rPr>
              <w:t>Tableaux de bord</w:t>
            </w:r>
          </w:p>
          <w:p w14:paraId="720AF70E" w14:textId="77777777" w:rsidR="000C4F02" w:rsidRDefault="00464D5F">
            <w:pPr>
              <w:spacing w:line="228" w:lineRule="auto"/>
            </w:pPr>
            <w:r>
              <w:rPr>
                <w:sz w:val="17"/>
              </w:rPr>
              <w:t>KPI/OKR de portefeuille, budget, capacités, jalons, risques, dépendances et plans d’action.</w:t>
            </w:r>
          </w:p>
        </w:tc>
      </w:tr>
      <w:tr w:rsidR="000C4F02" w14:paraId="164F5997"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5E85EB6" w14:textId="77777777" w:rsidR="000C4F02" w:rsidRDefault="00464D5F">
            <w:pPr>
              <w:spacing w:after="60" w:line="228" w:lineRule="auto"/>
            </w:pPr>
            <w:r>
              <w:rPr>
                <w:b/>
                <w:color w:val="4B0A78"/>
              </w:rPr>
              <w:t>Analyses par activité</w:t>
            </w:r>
          </w:p>
          <w:p w14:paraId="0E862584" w14:textId="77777777" w:rsidR="000C4F02" w:rsidRDefault="00464D5F">
            <w:pPr>
              <w:spacing w:line="228" w:lineRule="auto"/>
            </w:pPr>
            <w:r>
              <w:rPr>
                <w:sz w:val="17"/>
              </w:rPr>
              <w:t>Ventilation des charges et coûts par ressources, activités, services, projets et axes analytiques.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4B59F1AC" w14:textId="77777777" w:rsidR="000C4F02" w:rsidRDefault="00464D5F">
            <w:pPr>
              <w:spacing w:after="60" w:line="228" w:lineRule="auto"/>
            </w:pPr>
            <w:r>
              <w:rPr>
                <w:b/>
                <w:color w:val="4B0A78"/>
              </w:rPr>
              <w:t>Maquettes budgétaires</w:t>
            </w:r>
          </w:p>
          <w:p w14:paraId="54994094" w14:textId="77777777" w:rsidR="000C4F02" w:rsidRDefault="00464D5F">
            <w:pPr>
              <w:spacing w:line="228" w:lineRule="auto"/>
            </w:pPr>
            <w:r>
              <w:rPr>
                <w:sz w:val="17"/>
              </w:rPr>
              <w:t>Budgets, plans de charge, prévisions, RAF, réestimés et projections d’exercices futurs.</w:t>
            </w:r>
          </w:p>
        </w:tc>
      </w:tr>
      <w:tr w:rsidR="000C4F02" w14:paraId="11D636F1"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D2CB7F0" w14:textId="77777777" w:rsidR="000C4F02" w:rsidRDefault="00464D5F">
            <w:pPr>
              <w:spacing w:after="60" w:line="228" w:lineRule="auto"/>
            </w:pPr>
            <w:r>
              <w:rPr>
                <w:b/>
                <w:color w:val="4B0A78"/>
              </w:rPr>
              <w:t>Supports de gouvernance</w:t>
            </w:r>
          </w:p>
          <w:p w14:paraId="37997A55" w14:textId="77777777" w:rsidR="000C4F02" w:rsidRDefault="00464D5F">
            <w:pPr>
              <w:spacing w:line="228" w:lineRule="auto"/>
            </w:pPr>
            <w:r>
              <w:rPr>
                <w:sz w:val="17"/>
              </w:rPr>
              <w:t>COMEX, CODIR, COPIL, COPROJ, comités Roadmap, revues budgétaires et supports d’arbitrage.</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5F6EA5F" w14:textId="77777777" w:rsidR="000C4F02" w:rsidRDefault="00464D5F">
            <w:pPr>
              <w:spacing w:after="60" w:line="228" w:lineRule="auto"/>
            </w:pPr>
            <w:r>
              <w:rPr>
                <w:b/>
                <w:color w:val="4B0A78"/>
              </w:rPr>
              <w:t>Documentation</w:t>
            </w:r>
          </w:p>
          <w:p w14:paraId="3C89E9AC" w14:textId="77777777" w:rsidR="000C4F02" w:rsidRDefault="00464D5F">
            <w:pPr>
              <w:spacing w:line="228" w:lineRule="auto"/>
            </w:pPr>
            <w:r>
              <w:rPr>
                <w:sz w:val="17"/>
              </w:rPr>
              <w:t>Procédures, modes opératoires, supports de formation et référentiels de contrôle.</w:t>
            </w:r>
          </w:p>
        </w:tc>
      </w:tr>
    </w:tbl>
    <w:p w14:paraId="62066BA7" w14:textId="77777777" w:rsidR="000C4F02" w:rsidRDefault="000C4F02">
      <w:pPr>
        <w:spacing w:after="20"/>
      </w:pPr>
    </w:p>
    <w:p w14:paraId="2B5CD709" w14:textId="77777777" w:rsidR="000C4F02" w:rsidRDefault="00464D5F">
      <w:r>
        <w:br w:type="page"/>
      </w:r>
    </w:p>
    <w:p w14:paraId="23B2474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59264" behindDoc="0" locked="0" layoutInCell="1" allowOverlap="1" wp14:anchorId="36D151E0" wp14:editId="173EC808">
                <wp:simplePos x="0" y="0"/>
                <wp:positionH relativeFrom="margin">
                  <wp:posOffset>31750</wp:posOffset>
                </wp:positionH>
                <wp:positionV relativeFrom="paragraph">
                  <wp:posOffset>8255</wp:posOffset>
                </wp:positionV>
                <wp:extent cx="6165850" cy="233680"/>
                <wp:effectExtent l="0" t="0" r="25400" b="13970"/>
                <wp:wrapNone/>
                <wp:docPr id="3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38" name="Groupe 53"/>
                        <wpg:cNvGrpSpPr/>
                        <wpg:grpSpPr>
                          <a:xfrm>
                            <a:off x="0" y="7315"/>
                            <a:ext cx="6165850" cy="217845"/>
                            <a:chOff x="1" y="80592"/>
                            <a:chExt cx="6166002" cy="218486"/>
                          </a:xfrm>
                        </wpg:grpSpPr>
                        <wps:wsp>
                          <wps:cNvPr id="3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6BB4DB"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4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6C52F02E" w14:textId="77777777" w:rsidR="000C4F02" w:rsidRDefault="00464D5F">
                              <w:pPr>
                                <w:rPr>
                                  <w:b/>
                                  <w:bCs/>
                                  <w:color w:val="FFFFFF" w:themeColor="background1"/>
                                </w:rPr>
                              </w:pPr>
                              <w:r>
                                <w:rPr>
                                  <w:b/>
                                  <w:bCs/>
                                  <w:color w:val="FFFFFF" w:themeColor="background1"/>
                                </w:rPr>
                                <w:t>EXPÉRIENCE DÉTAILLÉE – ADP</w:t>
                              </w:r>
                            </w:p>
                          </w:txbxContent>
                        </wps:txbx>
                        <wps:bodyPr rot="0" vert="horz" wrap="square" lIns="91440" tIns="45720" rIns="91440" bIns="45720" anchor="t" anchorCtr="0">
                          <a:noAutofit/>
                        </wps:bodyPr>
                      </wps:wsp>
                    </wpg:wgp>
                  </a:graphicData>
                </a:graphic>
              </wp:anchor>
            </w:drawing>
          </mc:Choice>
          <mc:Fallback>
            <w:pict>
              <v:group w14:anchorId="36D151E0" id="_x0000_s1067" alt="Titre de section : ANALYSE TILENCIA" style="position:absolute;margin-left:2.5pt;margin-top:.65pt;width:485.5pt;height:18.4pt;z-index:25165926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">
                <v:group id="Groupe 53" o:spid="_x0000_s106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Rectangle : avec coin rogné 54" o:spid="_x0000_s106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66BB4DB" w14:textId="77777777" w:rsidR="000C4F02" w:rsidRDefault="000C4F02">
                          <w:pPr>
                            <w:jc w:val="left"/>
                            <w:rPr>
                              <w:b/>
                              <w:bCs/>
                              <w:szCs w:val="18"/>
                            </w:rPr>
                          </w:pPr>
                        </w:p>
                      </w:txbxContent>
                    </v:textbox>
                  </v:shape>
                  <v:line id="Connecteur droit 55" o:spid="_x0000_s107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" strokecolor="#4b0a78" strokeweight="2.25pt"/>
                </v:group>
                <v:shape id="Zone de texte 2" o:spid="_x0000_s107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" filled="f" stroked="f">
                  <v:textbox>
                    <w:txbxContent>
                      <w:p w14:paraId="6C52F02E" w14:textId="77777777" w:rsidR="000C4F02" w:rsidRDefault="00464D5F">
                        <w:pPr>
                          <w:rPr>
                            <w:b/>
                            <w:bCs/>
                            <w:color w:val="FFFFFF" w:themeColor="background1"/>
                          </w:rPr>
                        </w:pPr>
                        <w:r>
                          <w:rPr>
                            <w:b/>
                            <w:bCs/>
                            <w:color w:val="FFFFFF" w:themeColor="background1"/>
                          </w:rPr>
                          <w:t>EXPÉRIENCE DÉTAILLÉE – ADP</w:t>
                        </w:r>
                      </w:p>
                    </w:txbxContent>
                  </v:textbox>
                </v:shape>
                <w10:wrap anchorx="margin"/>
              </v:group>
            </w:pict>
          </mc:Fallback>
        </mc:AlternateContent>
      </w:r>
    </w:p>
    <w:p w14:paraId="0965C59E" w14:textId="5FB49449" w:rsidR="000C4F02" w:rsidRDefault="00464D5F">
      <w:pPr>
        <w:keepNext/>
        <w:spacing w:before="80" w:line="228" w:lineRule="auto"/>
      </w:pPr>
      <w:r>
        <w:rPr>
          <w:b/>
          <w:color w:val="4B0A78"/>
          <w:sz w:val="20"/>
        </w:rPr>
        <w:t>GROUPE AÉROPORTS DE PARIS (ADP), 2023 – 2024</w:t>
      </w:r>
    </w:p>
    <w:p w14:paraId="205AE8CF" w14:textId="77777777" w:rsidR="000C4F02" w:rsidRDefault="00464D5F">
      <w:pPr>
        <w:keepNext/>
        <w:spacing w:after="60" w:line="228" w:lineRule="auto"/>
      </w:pPr>
      <w:r>
        <w:rPr>
          <w:b/>
          <w:i/>
          <w:color w:val="808080"/>
          <w:sz w:val="19"/>
        </w:rPr>
        <w:t>PMO Central – Gouvernance, portefeuille et plan de charge DSI</w:t>
      </w:r>
    </w:p>
    <w:p w14:paraId="5AA21FB2" w14:textId="77777777" w:rsidR="000C4F02" w:rsidRDefault="00464D5F">
      <w:pPr>
        <w:spacing w:after="40"/>
      </w:pPr>
      <w:r>
        <w:rPr>
          <w:b/>
          <w:color w:val="7030A0"/>
        </w:rPr>
        <w:t>Contexte</w:t>
      </w:r>
      <w:r>
        <w:rPr>
          <w:b/>
          <w:color w:val="3F3F3F"/>
        </w:rPr>
        <w:t xml:space="preserve"> : </w:t>
      </w:r>
      <w:r>
        <w:t>Mise en place d’une structure PMO Central et pilotage du plan de charge consolidé à l’échelle de la DSI du groupe.</w:t>
      </w:r>
    </w:p>
    <w:p w14:paraId="18A6C8FB" w14:textId="77777777" w:rsidR="000C4F02" w:rsidRDefault="00464D5F">
      <w:pPr>
        <w:spacing w:after="40"/>
      </w:pPr>
      <w:r>
        <w:rPr>
          <w:b/>
          <w:color w:val="7030A0"/>
        </w:rPr>
        <w:t>Périmètre</w:t>
      </w:r>
      <w:r>
        <w:rPr>
          <w:b/>
          <w:color w:val="3F3F3F"/>
        </w:rPr>
        <w:t xml:space="preserve"> : </w:t>
      </w:r>
      <w:r>
        <w:t>Plan de charge DSI, portefeuille de projets, capacité à faire, ressources critiques, instances Roadmap et reporting exécutif.</w:t>
      </w:r>
    </w:p>
    <w:p w14:paraId="51790C71" w14:textId="77777777" w:rsidR="000C4F02" w:rsidRDefault="00464D5F">
      <w:pPr>
        <w:keepNext/>
        <w:spacing w:before="60" w:after="40"/>
      </w:pPr>
      <w:r>
        <w:rPr>
          <w:b/>
          <w:color w:val="4B0A78"/>
          <w:sz w:val="21"/>
        </w:rPr>
        <w:t>Responsabilités et réalisations</w:t>
      </w:r>
    </w:p>
    <w:p w14:paraId="2BDF1AED" w14:textId="77777777" w:rsidR="000C4F02" w:rsidRDefault="00464D5F">
      <w:pPr>
        <w:spacing w:after="20" w:line="230" w:lineRule="auto"/>
        <w:ind w:left="255" w:hanging="142"/>
      </w:pPr>
      <w:r>
        <w:rPr>
          <w:color w:val="4B0A78"/>
        </w:rPr>
        <w:t xml:space="preserve">• </w:t>
      </w:r>
      <w:r>
        <w:t>Pilotage du programme de plan de charge DSI consolidé, coordination et allocation des ressources.</w:t>
      </w:r>
    </w:p>
    <w:p w14:paraId="2918C1B4" w14:textId="77777777" w:rsidR="000C4F02" w:rsidRDefault="00464D5F">
      <w:pPr>
        <w:spacing w:after="20" w:line="230" w:lineRule="auto"/>
        <w:ind w:left="255" w:hanging="142"/>
      </w:pPr>
      <w:r>
        <w:rPr>
          <w:color w:val="4B0A78"/>
        </w:rPr>
        <w:t xml:space="preserve">• </w:t>
      </w:r>
      <w:r>
        <w:t>Affectation des compétences rares sur les projets stratégiques et analyse de la capacité à faire.</w:t>
      </w:r>
    </w:p>
    <w:p w14:paraId="35CBD46F" w14:textId="77777777" w:rsidR="000C4F02" w:rsidRDefault="00464D5F">
      <w:pPr>
        <w:spacing w:after="20" w:line="230" w:lineRule="auto"/>
        <w:ind w:left="255" w:hanging="142"/>
      </w:pPr>
      <w:r>
        <w:rPr>
          <w:color w:val="4B0A78"/>
        </w:rPr>
        <w:t xml:space="preserve">• </w:t>
      </w:r>
      <w:r>
        <w:t>Pilotage du portefeuille en fonction de la demande, des priorités du SDSI et des contraintes de capacité.</w:t>
      </w:r>
    </w:p>
    <w:p w14:paraId="67A16915" w14:textId="77777777" w:rsidR="000C4F02" w:rsidRDefault="00464D5F">
      <w:pPr>
        <w:spacing w:after="20" w:line="230" w:lineRule="auto"/>
        <w:ind w:left="255" w:hanging="142"/>
      </w:pPr>
      <w:r>
        <w:rPr>
          <w:color w:val="4B0A78"/>
        </w:rPr>
        <w:t xml:space="preserve">• </w:t>
      </w:r>
      <w:r>
        <w:t>Organisation et animation des comités Roadmap, des revues de portefeuille et des revues de projet.</w:t>
      </w:r>
    </w:p>
    <w:p w14:paraId="364944C3" w14:textId="77777777" w:rsidR="000C4F02" w:rsidRDefault="00464D5F">
      <w:pPr>
        <w:spacing w:after="20" w:line="230" w:lineRule="auto"/>
        <w:ind w:left="255" w:hanging="142"/>
      </w:pPr>
      <w:r>
        <w:rPr>
          <w:color w:val="4B0A78"/>
        </w:rPr>
        <w:t xml:space="preserve">• </w:t>
      </w:r>
      <w:r>
        <w:t>Production du reporting PREV / BUILD / RUN, des KPI et OKR, et suivi des alertes et points de blocage.</w:t>
      </w:r>
    </w:p>
    <w:p w14:paraId="33DFC987" w14:textId="77777777" w:rsidR="000C4F02" w:rsidRDefault="00464D5F">
      <w:pPr>
        <w:spacing w:after="20" w:line="230" w:lineRule="auto"/>
        <w:ind w:left="255" w:hanging="142"/>
      </w:pPr>
      <w:r>
        <w:rPr>
          <w:color w:val="4B0A78"/>
        </w:rPr>
        <w:t xml:space="preserve">• </w:t>
      </w:r>
      <w:r>
        <w:t>Définition et maintien des standards, processus et normes de gestion de projet.</w:t>
      </w:r>
    </w:p>
    <w:p w14:paraId="2B430DF8" w14:textId="77777777" w:rsidR="000C4F02" w:rsidRDefault="00464D5F">
      <w:pPr>
        <w:spacing w:after="20" w:line="230" w:lineRule="auto"/>
        <w:ind w:left="255" w:hanging="142"/>
      </w:pPr>
      <w:r>
        <w:rPr>
          <w:color w:val="4B0A78"/>
        </w:rPr>
        <w:t xml:space="preserve">• </w:t>
      </w:r>
      <w:r>
        <w:t>Accompagnement des PMO et chefs de projet dans l’application des pratiques et l’utilisation des supports.</w:t>
      </w:r>
    </w:p>
    <w:p w14:paraId="467BB956" w14:textId="77777777" w:rsidR="000C4F02" w:rsidRDefault="00464D5F">
      <w:pPr>
        <w:spacing w:after="20" w:line="230" w:lineRule="auto"/>
        <w:ind w:left="255" w:hanging="142"/>
      </w:pPr>
      <w:r>
        <w:rPr>
          <w:color w:val="4B0A78"/>
        </w:rPr>
        <w:t xml:space="preserve">• </w:t>
      </w:r>
      <w:r>
        <w:t>Supervision des dépendances, demandes de changement, recettes et stabilisation post-production.</w:t>
      </w:r>
    </w:p>
    <w:p w14:paraId="1381F4B5" w14:textId="77777777" w:rsidR="000C4F02" w:rsidRDefault="00464D5F">
      <w:pPr>
        <w:keepNext/>
        <w:spacing w:before="100" w:after="40"/>
      </w:pPr>
      <w:r>
        <w:rPr>
          <w:b/>
          <w:color w:val="4B0A78"/>
          <w:sz w:val="21"/>
        </w:rPr>
        <w:t>Contribution directe aux attentes du client</w:t>
      </w:r>
    </w:p>
    <w:p w14:paraId="7B957CC5" w14:textId="77777777" w:rsidR="000C4F02" w:rsidRDefault="00464D5F">
      <w:pPr>
        <w:spacing w:after="20" w:line="230" w:lineRule="auto"/>
        <w:ind w:left="255" w:hanging="142"/>
      </w:pPr>
      <w:r>
        <w:rPr>
          <w:color w:val="4B0A78"/>
        </w:rPr>
        <w:t xml:space="preserve">• </w:t>
      </w:r>
      <w:r>
        <w:t>Expérience récente et directement transposable de gouvernance d’un plan de charge DSI consolidé.</w:t>
      </w:r>
    </w:p>
    <w:p w14:paraId="30E09A89" w14:textId="77777777" w:rsidR="000C4F02" w:rsidRDefault="00464D5F">
      <w:pPr>
        <w:spacing w:after="20" w:line="230" w:lineRule="auto"/>
        <w:ind w:left="255" w:hanging="142"/>
      </w:pPr>
      <w:r>
        <w:rPr>
          <w:color w:val="4B0A78"/>
        </w:rPr>
        <w:t xml:space="preserve">• </w:t>
      </w:r>
      <w:r>
        <w:t>Capacité à préparer des scénarios et arbitrages capacitaires et à mettre en visibilité les ressources critiques.</w:t>
      </w:r>
    </w:p>
    <w:p w14:paraId="3395551C" w14:textId="77777777" w:rsidR="000C4F02" w:rsidRDefault="00464D5F">
      <w:pPr>
        <w:spacing w:after="20" w:line="230" w:lineRule="auto"/>
        <w:ind w:left="255" w:hanging="142"/>
      </w:pPr>
      <w:r>
        <w:rPr>
          <w:color w:val="4B0A78"/>
        </w:rPr>
        <w:t xml:space="preserve">• </w:t>
      </w:r>
      <w:r>
        <w:t>Production d’un reporting exécutif structuré pour les revues de portefeuille et les décisions du CODIR.</w:t>
      </w:r>
    </w:p>
    <w:p w14:paraId="02EED6C3" w14:textId="77777777" w:rsidR="000C4F02" w:rsidRDefault="00464D5F">
      <w:pPr>
        <w:spacing w:before="40" w:after="100" w:line="228" w:lineRule="auto"/>
      </w:pPr>
      <w:r>
        <w:rPr>
          <w:b/>
          <w:i/>
          <w:color w:val="4B0A78"/>
        </w:rPr>
        <w:t xml:space="preserve">Impact : </w:t>
      </w:r>
      <w:r>
        <w:rPr>
          <w:i/>
        </w:rPr>
        <w:t>Vision consolidée du plan de charge et des arbitrages capacitaires mise à disposition du CODIR.</w:t>
      </w:r>
    </w:p>
    <w:p w14:paraId="1FB1A42C" w14:textId="77777777" w:rsidR="000C4F02" w:rsidRDefault="00464D5F">
      <w:pPr>
        <w:spacing w:after="40"/>
      </w:pPr>
      <w:r>
        <w:rPr>
          <w:b/>
          <w:color w:val="7030A0"/>
        </w:rPr>
        <w:t>Environnement</w:t>
      </w:r>
      <w:r>
        <w:rPr>
          <w:b/>
          <w:color w:val="3F3F3F"/>
        </w:rPr>
        <w:t xml:space="preserve"> : </w:t>
      </w:r>
      <w:r>
        <w:t>Microsoft Project, Power BI, SharePoint, Excel, PowerPoint, Scrum, Lean Portfolio Management et capacity planning.</w:t>
      </w:r>
    </w:p>
    <w:p w14:paraId="7CF401B4" w14:textId="77777777" w:rsidR="000C4F02" w:rsidRDefault="00464D5F">
      <w:r>
        <w:br w:type="page"/>
      </w:r>
    </w:p>
    <w:p w14:paraId="37F23F71"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0288" behindDoc="0" locked="0" layoutInCell="1" allowOverlap="1" wp14:anchorId="5E8CA396" wp14:editId="546C92AC">
                <wp:simplePos x="0" y="0"/>
                <wp:positionH relativeFrom="margin">
                  <wp:posOffset>31750</wp:posOffset>
                </wp:positionH>
                <wp:positionV relativeFrom="paragraph">
                  <wp:posOffset>8255</wp:posOffset>
                </wp:positionV>
                <wp:extent cx="6165850" cy="233680"/>
                <wp:effectExtent l="0" t="0" r="25400" b="13970"/>
                <wp:wrapNone/>
                <wp:docPr id="4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3" name="Groupe 53"/>
                        <wpg:cNvGrpSpPr/>
                        <wpg:grpSpPr>
                          <a:xfrm>
                            <a:off x="0" y="7315"/>
                            <a:ext cx="6165850" cy="217845"/>
                            <a:chOff x="1" y="80592"/>
                            <a:chExt cx="6166002" cy="218486"/>
                          </a:xfrm>
                        </wpg:grpSpPr>
                        <wps:wsp>
                          <wps:cNvPr id="44"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BE24B0"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46"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E96E14D" w14:textId="77777777" w:rsidR="000C4F02" w:rsidRDefault="00464D5F">
                              <w:pPr>
                                <w:rPr>
                                  <w:b/>
                                  <w:bCs/>
                                  <w:color w:val="FFFFFF" w:themeColor="background1"/>
                                </w:rPr>
                              </w:pPr>
                              <w:r>
                                <w:rPr>
                                  <w:b/>
                                  <w:bCs/>
                                  <w:color w:val="FFFFFF" w:themeColor="background1"/>
                                </w:rPr>
                                <w:t>EXPÉRIENCE DÉTAILLÉE – MALAKOFF HUMANIS</w:t>
                              </w:r>
                            </w:p>
                          </w:txbxContent>
                        </wps:txbx>
                        <wps:bodyPr rot="0" vert="horz" wrap="square" lIns="91440" tIns="45720" rIns="91440" bIns="45720" anchor="t" anchorCtr="0">
                          <a:noAutofit/>
                        </wps:bodyPr>
                      </wps:wsp>
                    </wpg:wgp>
                  </a:graphicData>
                </a:graphic>
              </wp:anchor>
            </w:drawing>
          </mc:Choice>
          <mc:Fallback>
            <w:pict>
              <v:group w14:anchorId="5E8CA396" id="_x0000_s1072" alt="Titre de section : ANALYSE TILENCIA" style="position:absolute;margin-left:2.5pt;margin-top:.65pt;width:485.5pt;height:18.4pt;z-index:25166028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">
                <v:group id="Groupe 53" o:spid="_x0000_s107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Rectangle : avec coin rogné 54" o:spid="_x0000_s107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3DBE24B0" w14:textId="77777777" w:rsidR="000C4F02" w:rsidRDefault="000C4F02">
                          <w:pPr>
                            <w:jc w:val="left"/>
                            <w:rPr>
                              <w:b/>
                              <w:bCs/>
                              <w:szCs w:val="18"/>
                            </w:rPr>
                          </w:pPr>
                        </w:p>
                      </w:txbxContent>
                    </v:textbox>
                  </v:shape>
                  <v:line id="Connecteur droit 55" o:spid="_x0000_s107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" strokecolor="#4b0a78" strokeweight="2.25pt"/>
                </v:group>
                <v:shape id="Zone de texte 2" o:spid="_x0000_s107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7E96E14D" w14:textId="77777777" w:rsidR="000C4F02" w:rsidRDefault="00464D5F">
                        <w:pPr>
                          <w:rPr>
                            <w:b/>
                            <w:bCs/>
                            <w:color w:val="FFFFFF" w:themeColor="background1"/>
                          </w:rPr>
                        </w:pPr>
                        <w:r>
                          <w:rPr>
                            <w:b/>
                            <w:bCs/>
                            <w:color w:val="FFFFFF" w:themeColor="background1"/>
                          </w:rPr>
                          <w:t>EXPÉRIENCE DÉTAILLÉE – MALAKOFF HUMANIS</w:t>
                        </w:r>
                      </w:p>
                    </w:txbxContent>
                  </v:textbox>
                </v:shape>
                <w10:wrap anchorx="margin"/>
              </v:group>
            </w:pict>
          </mc:Fallback>
        </mc:AlternateContent>
      </w:r>
    </w:p>
    <w:p w14:paraId="63789F00" w14:textId="77777777" w:rsidR="000C4F02" w:rsidRDefault="00464D5F">
      <w:pPr>
        <w:keepNext/>
        <w:spacing w:before="80" w:line="228" w:lineRule="auto"/>
      </w:pPr>
      <w:r>
        <w:rPr>
          <w:b/>
          <w:color w:val="4B0A78"/>
          <w:sz w:val="20"/>
        </w:rPr>
        <w:t>MALAKOFF HUMANIS, 2022 – 2023</w:t>
      </w:r>
    </w:p>
    <w:p w14:paraId="2578B1BF" w14:textId="77777777" w:rsidR="000C4F02" w:rsidRDefault="00464D5F">
      <w:pPr>
        <w:keepNext/>
        <w:spacing w:after="60" w:line="228" w:lineRule="auto"/>
      </w:pPr>
      <w:r>
        <w:rPr>
          <w:b/>
          <w:i/>
          <w:color w:val="808080"/>
          <w:sz w:val="19"/>
        </w:rPr>
        <w:t>PMO – Pilotage transverse de trois programmes stratégiques</w:t>
      </w:r>
    </w:p>
    <w:p w14:paraId="2247B1B3" w14:textId="77777777" w:rsidR="000C4F02" w:rsidRDefault="00464D5F">
      <w:pPr>
        <w:spacing w:after="40"/>
      </w:pPr>
      <w:r>
        <w:rPr>
          <w:b/>
          <w:color w:val="7030A0"/>
        </w:rPr>
        <w:t>Contexte</w:t>
      </w:r>
      <w:r>
        <w:rPr>
          <w:b/>
          <w:color w:val="3F3F3F"/>
        </w:rPr>
        <w:t xml:space="preserve"> : </w:t>
      </w:r>
      <w:r>
        <w:t>Intervention au sein de la DSI Relation Client sur des programmes d’épargne, d’assurance et de retraite complémentaire.</w:t>
      </w:r>
    </w:p>
    <w:p w14:paraId="3378D42E" w14:textId="77777777" w:rsidR="000C4F02" w:rsidRDefault="00464D5F">
      <w:pPr>
        <w:spacing w:after="40"/>
      </w:pPr>
      <w:r>
        <w:rPr>
          <w:b/>
          <w:color w:val="7030A0"/>
        </w:rPr>
        <w:t>Périmètre</w:t>
      </w:r>
      <w:r>
        <w:rPr>
          <w:b/>
          <w:color w:val="3F3F3F"/>
        </w:rPr>
        <w:t xml:space="preserve"> : </w:t>
      </w:r>
      <w:r>
        <w:t>Trois programmes portant sur l’épargne, le traitement des demandes clients et la stratégie de migration GED.</w:t>
      </w:r>
    </w:p>
    <w:p w14:paraId="3D70AC5F" w14:textId="77777777" w:rsidR="000C4F02" w:rsidRDefault="00464D5F">
      <w:pPr>
        <w:keepNext/>
        <w:spacing w:before="60" w:after="40"/>
      </w:pPr>
      <w:r>
        <w:rPr>
          <w:b/>
          <w:color w:val="4B0A78"/>
          <w:sz w:val="21"/>
        </w:rPr>
        <w:t>Responsabilités et réalisations</w:t>
      </w:r>
    </w:p>
    <w:p w14:paraId="2691932D" w14:textId="77777777" w:rsidR="000C4F02" w:rsidRDefault="00464D5F">
      <w:pPr>
        <w:spacing w:after="20" w:line="230" w:lineRule="auto"/>
        <w:ind w:left="255" w:hanging="142"/>
      </w:pPr>
      <w:r>
        <w:rPr>
          <w:color w:val="4B0A78"/>
        </w:rPr>
        <w:t xml:space="preserve">• </w:t>
      </w:r>
      <w:r>
        <w:t>Pilotage global du BUILD : périmètre, livrables, planning, budget, capacité à faire, risques et plans d’action.</w:t>
      </w:r>
    </w:p>
    <w:p w14:paraId="39C7F6F2" w14:textId="77777777" w:rsidR="000C4F02" w:rsidRDefault="00464D5F">
      <w:pPr>
        <w:spacing w:after="20" w:line="230" w:lineRule="auto"/>
        <w:ind w:left="255" w:hanging="142"/>
      </w:pPr>
      <w:r>
        <w:rPr>
          <w:color w:val="4B0A78"/>
        </w:rPr>
        <w:t xml:space="preserve">• </w:t>
      </w:r>
      <w:r>
        <w:t>Préparation et animation des COPROJ, COSTREAM et COPIL.</w:t>
      </w:r>
    </w:p>
    <w:p w14:paraId="47597456" w14:textId="77777777" w:rsidR="000C4F02" w:rsidRDefault="00464D5F">
      <w:pPr>
        <w:spacing w:after="20" w:line="230" w:lineRule="auto"/>
        <w:ind w:left="255" w:hanging="142"/>
      </w:pPr>
      <w:r>
        <w:rPr>
          <w:color w:val="4B0A78"/>
        </w:rPr>
        <w:t xml:space="preserve">• </w:t>
      </w:r>
      <w:r>
        <w:t>Production des relevés de décisions, tableaux d’arbitrage, KPI et tableaux de bord destinés aux instances.</w:t>
      </w:r>
    </w:p>
    <w:p w14:paraId="4DD0D996" w14:textId="77777777" w:rsidR="000C4F02" w:rsidRDefault="00464D5F">
      <w:pPr>
        <w:spacing w:after="20" w:line="230" w:lineRule="auto"/>
        <w:ind w:left="255" w:hanging="142"/>
      </w:pPr>
      <w:r>
        <w:rPr>
          <w:color w:val="4B0A78"/>
        </w:rPr>
        <w:t xml:space="preserve">• </w:t>
      </w:r>
      <w:r>
        <w:t>Sécurisation du delivery IT et supervision des recettes MOA, métier et bout en bout.</w:t>
      </w:r>
    </w:p>
    <w:p w14:paraId="6038413B" w14:textId="77777777" w:rsidR="000C4F02" w:rsidRDefault="00464D5F">
      <w:pPr>
        <w:spacing w:after="20" w:line="230" w:lineRule="auto"/>
        <w:ind w:left="255" w:hanging="142"/>
      </w:pPr>
      <w:r>
        <w:rPr>
          <w:color w:val="4B0A78"/>
        </w:rPr>
        <w:t xml:space="preserve">• </w:t>
      </w:r>
      <w:r>
        <w:t>Pilotage de chantiers Relation Client, CRM, GED, espaces clients, épargne salariale et épargne retraite.</w:t>
      </w:r>
    </w:p>
    <w:p w14:paraId="692B6A4B" w14:textId="77777777" w:rsidR="000C4F02" w:rsidRDefault="00464D5F">
      <w:pPr>
        <w:spacing w:after="20" w:line="230" w:lineRule="auto"/>
        <w:ind w:left="255" w:hanging="142"/>
      </w:pPr>
      <w:r>
        <w:rPr>
          <w:color w:val="4B0A78"/>
        </w:rPr>
        <w:t xml:space="preserve">• </w:t>
      </w:r>
      <w:r>
        <w:t>Coordination des parties prenantes métiers, IT, prestataires et équipes de gouvernance.</w:t>
      </w:r>
    </w:p>
    <w:p w14:paraId="4199B4BC" w14:textId="77777777" w:rsidR="000C4F02" w:rsidRDefault="00464D5F">
      <w:pPr>
        <w:spacing w:after="20" w:line="230" w:lineRule="auto"/>
        <w:ind w:left="255" w:hanging="142"/>
      </w:pPr>
      <w:r>
        <w:rPr>
          <w:color w:val="4B0A78"/>
        </w:rPr>
        <w:t xml:space="preserve">• </w:t>
      </w:r>
      <w:r>
        <w:t>Suivi des jalons, dépendances, risques, plans d’action et points de blocage.</w:t>
      </w:r>
    </w:p>
    <w:p w14:paraId="40B762F1" w14:textId="77777777" w:rsidR="000C4F02" w:rsidRDefault="00464D5F">
      <w:pPr>
        <w:spacing w:after="20" w:line="230" w:lineRule="auto"/>
        <w:ind w:left="255" w:hanging="142"/>
      </w:pPr>
      <w:r>
        <w:rPr>
          <w:color w:val="4B0A78"/>
        </w:rPr>
        <w:t xml:space="preserve">• </w:t>
      </w:r>
      <w:r>
        <w:t>Consolidation des éléments budgétaires et capacitaires nécessaires aux décisions.</w:t>
      </w:r>
    </w:p>
    <w:p w14:paraId="565B9ECD" w14:textId="77777777" w:rsidR="000C4F02" w:rsidRDefault="00464D5F">
      <w:pPr>
        <w:spacing w:after="20" w:line="230" w:lineRule="auto"/>
        <w:ind w:left="255" w:hanging="142"/>
      </w:pPr>
      <w:r>
        <w:rPr>
          <w:color w:val="4B0A78"/>
        </w:rPr>
        <w:t xml:space="preserve">• </w:t>
      </w:r>
      <w:r>
        <w:t>Accompagnement méthodologique des acteurs projet et formalisation des supports de gouvernance.</w:t>
      </w:r>
    </w:p>
    <w:p w14:paraId="13E803DB" w14:textId="77777777" w:rsidR="000C4F02" w:rsidRDefault="00464D5F">
      <w:pPr>
        <w:spacing w:after="20" w:line="230" w:lineRule="auto"/>
        <w:ind w:left="255" w:hanging="142"/>
      </w:pPr>
      <w:r>
        <w:rPr>
          <w:color w:val="4B0A78"/>
        </w:rPr>
        <w:t xml:space="preserve">• </w:t>
      </w:r>
      <w:r>
        <w:t>Préparation des arbitrages et alertes à destination des responsables de programme.</w:t>
      </w:r>
    </w:p>
    <w:p w14:paraId="46E892D1" w14:textId="77777777" w:rsidR="000C4F02" w:rsidRDefault="00464D5F">
      <w:pPr>
        <w:spacing w:after="20" w:line="230" w:lineRule="auto"/>
        <w:ind w:left="255" w:hanging="142"/>
      </w:pPr>
      <w:r>
        <w:rPr>
          <w:color w:val="4B0A78"/>
        </w:rPr>
        <w:t xml:space="preserve">• </w:t>
      </w:r>
      <w:r>
        <w:t>Contribution à la conduite du changement sur les processus et outils des programmes.</w:t>
      </w:r>
    </w:p>
    <w:p w14:paraId="635546D9" w14:textId="77777777" w:rsidR="000C4F02" w:rsidRDefault="00464D5F">
      <w:pPr>
        <w:keepNext/>
        <w:spacing w:before="100" w:after="40"/>
      </w:pPr>
      <w:r>
        <w:rPr>
          <w:b/>
          <w:color w:val="4B0A78"/>
          <w:sz w:val="21"/>
        </w:rPr>
        <w:t>Exemples concrets alignés avec la mission</w:t>
      </w:r>
    </w:p>
    <w:p w14:paraId="598BD463" w14:textId="77777777" w:rsidR="000C4F02" w:rsidRDefault="00464D5F">
      <w:pPr>
        <w:spacing w:after="20" w:line="230" w:lineRule="auto"/>
        <w:ind w:left="255" w:hanging="142"/>
      </w:pPr>
      <w:r>
        <w:rPr>
          <w:color w:val="4B0A78"/>
        </w:rPr>
        <w:t xml:space="preserve">• </w:t>
      </w:r>
      <w:r>
        <w:t>Retraite complémentaire : connaissance avancée du périmètre Relation Client, Épargne et retraite complémentaire.</w:t>
      </w:r>
    </w:p>
    <w:p w14:paraId="645FC6D5" w14:textId="77777777" w:rsidR="000C4F02" w:rsidRDefault="00464D5F">
      <w:pPr>
        <w:spacing w:after="20" w:line="230" w:lineRule="auto"/>
        <w:ind w:left="255" w:hanging="142"/>
      </w:pPr>
      <w:r>
        <w:rPr>
          <w:color w:val="4B0A78"/>
        </w:rPr>
        <w:t xml:space="preserve">• </w:t>
      </w:r>
      <w:r>
        <w:t>Plan de charge et budget : suivi du planning, de la capacité à faire, du budget, des risques et des plans d’action.</w:t>
      </w:r>
    </w:p>
    <w:p w14:paraId="495BD6A9" w14:textId="77777777" w:rsidR="000C4F02" w:rsidRDefault="00464D5F">
      <w:pPr>
        <w:spacing w:after="20" w:line="230" w:lineRule="auto"/>
        <w:ind w:left="255" w:hanging="142"/>
      </w:pPr>
      <w:r>
        <w:rPr>
          <w:color w:val="4B0A78"/>
        </w:rPr>
        <w:t xml:space="preserve">• </w:t>
      </w:r>
      <w:r>
        <w:t>Gouvernance : animation des instances, préparation des tableaux de bord et formalisation des décisions.</w:t>
      </w:r>
    </w:p>
    <w:p w14:paraId="6346DFD8" w14:textId="77777777" w:rsidR="000C4F02" w:rsidRDefault="00464D5F">
      <w:pPr>
        <w:spacing w:before="40" w:after="100" w:line="228" w:lineRule="auto"/>
      </w:pPr>
      <w:r>
        <w:rPr>
          <w:b/>
          <w:i/>
          <w:color w:val="4B0A78"/>
        </w:rPr>
        <w:t xml:space="preserve">Impact : </w:t>
      </w:r>
      <w:r>
        <w:rPr>
          <w:i/>
        </w:rPr>
        <w:t>Pilotage transverse de trois programmes stratégiques au sein de la DSI Relation Client et retraite complémentaire.</w:t>
      </w:r>
    </w:p>
    <w:p w14:paraId="31064221" w14:textId="77777777" w:rsidR="000C4F02" w:rsidRDefault="00464D5F">
      <w:pPr>
        <w:spacing w:after="40"/>
      </w:pPr>
      <w:r>
        <w:rPr>
          <w:b/>
          <w:color w:val="7030A0"/>
        </w:rPr>
        <w:t>Environnement</w:t>
      </w:r>
      <w:r>
        <w:rPr>
          <w:b/>
          <w:color w:val="3F3F3F"/>
        </w:rPr>
        <w:t xml:space="preserve"> : </w:t>
      </w:r>
      <w:r>
        <w:t>Kelia, Jira, Microsoft Project, Excel TCD, PowerPoint, SharePoint, Agile, CRM, GED et épargne retraite.</w:t>
      </w:r>
    </w:p>
    <w:p w14:paraId="5823AB9A" w14:textId="77777777" w:rsidR="000C4F02" w:rsidRDefault="00464D5F">
      <w:r>
        <w:br w:type="page"/>
      </w:r>
    </w:p>
    <w:p w14:paraId="6B7B14F3"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1312" behindDoc="0" locked="0" layoutInCell="1" allowOverlap="1" wp14:anchorId="6443C0E0" wp14:editId="164B3CE6">
                <wp:simplePos x="0" y="0"/>
                <wp:positionH relativeFrom="margin">
                  <wp:posOffset>31750</wp:posOffset>
                </wp:positionH>
                <wp:positionV relativeFrom="paragraph">
                  <wp:posOffset>8255</wp:posOffset>
                </wp:positionV>
                <wp:extent cx="6165850" cy="233680"/>
                <wp:effectExtent l="0" t="0" r="25400" b="13970"/>
                <wp:wrapNone/>
                <wp:docPr id="47"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48" name="Groupe 53"/>
                        <wpg:cNvGrpSpPr/>
                        <wpg:grpSpPr>
                          <a:xfrm>
                            <a:off x="0" y="7315"/>
                            <a:ext cx="6165850" cy="217845"/>
                            <a:chOff x="1" y="80592"/>
                            <a:chExt cx="6166002" cy="218486"/>
                          </a:xfrm>
                        </wpg:grpSpPr>
                        <wps:wsp>
                          <wps:cNvPr id="49"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0D2F83"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0"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51"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5BF18965" w14:textId="77777777" w:rsidR="000C4F02" w:rsidRDefault="00464D5F">
                              <w:pPr>
                                <w:rPr>
                                  <w:b/>
                                  <w:bCs/>
                                  <w:color w:val="FFFFFF" w:themeColor="background1"/>
                                </w:rPr>
                              </w:pPr>
                              <w:r>
                                <w:rPr>
                                  <w:b/>
                                  <w:bCs/>
                                  <w:color w:val="FFFFFF" w:themeColor="background1"/>
                                </w:rPr>
                                <w:t>EXPÉRIENCES – TRANSFORMATION &amp; FINANCE</w:t>
                              </w:r>
                            </w:p>
                          </w:txbxContent>
                        </wps:txbx>
                        <wps:bodyPr rot="0" vert="horz" wrap="square" lIns="91440" tIns="45720" rIns="91440" bIns="45720" anchor="t" anchorCtr="0">
                          <a:noAutofit/>
                        </wps:bodyPr>
                      </wps:wsp>
                    </wpg:wgp>
                  </a:graphicData>
                </a:graphic>
              </wp:anchor>
            </w:drawing>
          </mc:Choice>
          <mc:Fallback>
            <w:pict>
              <v:group w14:anchorId="6443C0E0" id="_x0000_s1077" alt="Titre de section : ANALYSE TILENCIA" style="position:absolute;margin-left:2.5pt;margin-top:.65pt;width:485.5pt;height:18.4pt;z-index:251661312;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">
                <v:group id="Groupe 53" o:spid="_x0000_s107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Rectangle : avec coin rogné 54" o:spid="_x0000_s107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400D2F83" w14:textId="77777777" w:rsidR="000C4F02" w:rsidRDefault="000C4F02">
                          <w:pPr>
                            <w:jc w:val="left"/>
                            <w:rPr>
                              <w:b/>
                              <w:bCs/>
                              <w:szCs w:val="18"/>
                            </w:rPr>
                          </w:pPr>
                        </w:p>
                      </w:txbxContent>
                    </v:textbox>
                  </v:shape>
                  <v:line id="Connecteur droit 55" o:spid="_x0000_s108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" strokecolor="#4b0a78" strokeweight="2.25pt"/>
                </v:group>
                <v:shape id="Zone de texte 2" o:spid="_x0000_s108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" filled="f" stroked="f">
                  <v:textbox>
                    <w:txbxContent>
                      <w:p w14:paraId="5BF18965" w14:textId="77777777" w:rsidR="000C4F02" w:rsidRDefault="00464D5F">
                        <w:pPr>
                          <w:rPr>
                            <w:b/>
                            <w:bCs/>
                            <w:color w:val="FFFFFF" w:themeColor="background1"/>
                          </w:rPr>
                        </w:pPr>
                        <w:r>
                          <w:rPr>
                            <w:b/>
                            <w:bCs/>
                            <w:color w:val="FFFFFF" w:themeColor="background1"/>
                          </w:rPr>
                          <w:t>EXPÉRIENCES – TRANSFORMATION &amp; FINANCE</w:t>
                        </w:r>
                      </w:p>
                    </w:txbxContent>
                  </v:textbox>
                </v:shape>
                <w10:wrap anchorx="margin"/>
              </v:group>
            </w:pict>
          </mc:Fallback>
        </mc:AlternateContent>
      </w:r>
    </w:p>
    <w:p w14:paraId="6BDF9E98" w14:textId="77777777" w:rsidR="000C4F02" w:rsidRDefault="00464D5F">
      <w:pPr>
        <w:keepNext/>
        <w:spacing w:before="80" w:line="228" w:lineRule="auto"/>
      </w:pPr>
      <w:r>
        <w:rPr>
          <w:b/>
          <w:color w:val="4B0A78"/>
          <w:sz w:val="20"/>
        </w:rPr>
        <w:t>CAISSE DES DÉPÔTS ET CONSIGNATIONS, 2025 – 2026</w:t>
      </w:r>
    </w:p>
    <w:p w14:paraId="7CD411D8" w14:textId="77777777" w:rsidR="000C4F02" w:rsidRDefault="00464D5F">
      <w:pPr>
        <w:keepNext/>
        <w:spacing w:after="60" w:line="228" w:lineRule="auto"/>
      </w:pPr>
      <w:r>
        <w:rPr>
          <w:b/>
          <w:i/>
          <w:color w:val="808080"/>
          <w:sz w:val="19"/>
        </w:rPr>
        <w:t>PMO – Pilotage du portefeuille de produits Data &amp; IA</w:t>
      </w:r>
    </w:p>
    <w:p w14:paraId="6EBD8992" w14:textId="77777777" w:rsidR="000C4F02" w:rsidRDefault="00464D5F">
      <w:pPr>
        <w:spacing w:after="40"/>
      </w:pPr>
      <w:r>
        <w:rPr>
          <w:b/>
          <w:color w:val="7030A0"/>
        </w:rPr>
        <w:t>Contexte</w:t>
      </w:r>
      <w:r>
        <w:rPr>
          <w:b/>
          <w:color w:val="3F3F3F"/>
        </w:rPr>
        <w:t xml:space="preserve"> : </w:t>
      </w:r>
      <w:r>
        <w:t>Mise en place d’une structure de pilotage Data/IA et du Portfolio Management avec les directions métier, Product Owners et équipes IT.</w:t>
      </w:r>
    </w:p>
    <w:p w14:paraId="78539AD9" w14:textId="77777777" w:rsidR="000C4F02" w:rsidRDefault="00464D5F">
      <w:pPr>
        <w:spacing w:after="20" w:line="230" w:lineRule="auto"/>
        <w:ind w:left="255" w:hanging="142"/>
      </w:pPr>
      <w:r>
        <w:rPr>
          <w:color w:val="4B0A78"/>
        </w:rPr>
        <w:t xml:space="preserve">• </w:t>
      </w:r>
      <w:r>
        <w:t>Pilotage opérationnel du portefeuille et alignement des produits sur les objectifs stratégiques.</w:t>
      </w:r>
    </w:p>
    <w:p w14:paraId="3A687DEE" w14:textId="77777777" w:rsidR="000C4F02" w:rsidRDefault="00464D5F">
      <w:pPr>
        <w:spacing w:after="20" w:line="230" w:lineRule="auto"/>
        <w:ind w:left="255" w:hanging="142"/>
      </w:pPr>
      <w:r>
        <w:rPr>
          <w:color w:val="4B0A78"/>
        </w:rPr>
        <w:t xml:space="preserve">• </w:t>
      </w:r>
      <w:r>
        <w:t>Gestion de la capacité à faire, priorisation des initiatives et préparation des instances d’arbitrage.</w:t>
      </w:r>
    </w:p>
    <w:p w14:paraId="55B3DA1E" w14:textId="77777777" w:rsidR="000C4F02" w:rsidRDefault="00464D5F">
      <w:pPr>
        <w:spacing w:after="20" w:line="230" w:lineRule="auto"/>
        <w:ind w:left="255" w:hanging="142"/>
      </w:pPr>
      <w:r>
        <w:rPr>
          <w:color w:val="4B0A78"/>
        </w:rPr>
        <w:t xml:space="preserve">• </w:t>
      </w:r>
      <w:r>
        <w:t>Mise en place des KPI/OKR et suivi des écarts, risques, lead time et WIP.</w:t>
      </w:r>
    </w:p>
    <w:p w14:paraId="6FC395C0" w14:textId="77777777" w:rsidR="000C4F02" w:rsidRDefault="00464D5F">
      <w:pPr>
        <w:spacing w:after="20" w:line="230" w:lineRule="auto"/>
        <w:ind w:left="255" w:hanging="142"/>
      </w:pPr>
      <w:r>
        <w:rPr>
          <w:color w:val="4B0A78"/>
        </w:rPr>
        <w:t xml:space="preserve">• </w:t>
      </w:r>
      <w:r>
        <w:t>Déploiement des standards, évolution des processus et accompagnement de la communauté Portfolio Management.</w:t>
      </w:r>
    </w:p>
    <w:p w14:paraId="3D54D352" w14:textId="77777777" w:rsidR="000C4F02" w:rsidRDefault="00464D5F">
      <w:pPr>
        <w:spacing w:after="20" w:line="230" w:lineRule="auto"/>
        <w:ind w:left="255" w:hanging="142"/>
      </w:pPr>
      <w:r>
        <w:rPr>
          <w:color w:val="4B0A78"/>
        </w:rPr>
        <w:t xml:space="preserve">• </w:t>
      </w:r>
      <w:r>
        <w:t>Coordination des Business Owners, Product Owners, architectes, business analysts et équipes IT/métiers.</w:t>
      </w:r>
    </w:p>
    <w:p w14:paraId="7A3BD244" w14:textId="77777777" w:rsidR="000C4F02" w:rsidRDefault="00464D5F">
      <w:pPr>
        <w:spacing w:before="40" w:after="100" w:line="228" w:lineRule="auto"/>
        <w:rPr>
          <w:i/>
        </w:rPr>
      </w:pPr>
      <w:r>
        <w:rPr>
          <w:b/>
          <w:i/>
          <w:color w:val="4B0A78"/>
        </w:rPr>
        <w:t xml:space="preserve">Impact : </w:t>
      </w:r>
      <w:r>
        <w:rPr>
          <w:i/>
        </w:rPr>
        <w:t>Pilotage et priorisation structurés d’un portefeuille de produits Data &amp; IA.</w:t>
      </w:r>
    </w:p>
    <w:p w14:paraId="39A9C84F" w14:textId="77777777" w:rsidR="009628C6" w:rsidRDefault="009628C6">
      <w:pPr>
        <w:spacing w:before="40" w:after="100" w:line="228" w:lineRule="auto"/>
      </w:pPr>
    </w:p>
    <w:p w14:paraId="63FE86F8" w14:textId="77777777" w:rsidR="000C4F02" w:rsidRDefault="00464D5F">
      <w:pPr>
        <w:keepNext/>
        <w:spacing w:before="80" w:line="228" w:lineRule="auto"/>
      </w:pPr>
      <w:r>
        <w:rPr>
          <w:b/>
          <w:color w:val="4B0A78"/>
          <w:sz w:val="20"/>
        </w:rPr>
        <w:t>LA FRANCE MUTUALISTE, 2021 – 2022</w:t>
      </w:r>
    </w:p>
    <w:p w14:paraId="368CB322" w14:textId="77777777" w:rsidR="000C4F02" w:rsidRDefault="00464D5F">
      <w:pPr>
        <w:keepNext/>
        <w:spacing w:after="60" w:line="228" w:lineRule="auto"/>
      </w:pPr>
      <w:r>
        <w:rPr>
          <w:b/>
          <w:i/>
          <w:color w:val="808080"/>
          <w:sz w:val="19"/>
        </w:rPr>
        <w:t>PMO Stratégique – Portefeuille, budget et capacité à faire</w:t>
      </w:r>
    </w:p>
    <w:p w14:paraId="4EC0ED6D" w14:textId="77777777" w:rsidR="000C4F02" w:rsidRDefault="00464D5F">
      <w:pPr>
        <w:spacing w:after="40"/>
      </w:pPr>
      <w:r>
        <w:rPr>
          <w:b/>
          <w:color w:val="7030A0"/>
        </w:rPr>
        <w:t>Contexte</w:t>
      </w:r>
      <w:r>
        <w:rPr>
          <w:b/>
          <w:color w:val="3F3F3F"/>
        </w:rPr>
        <w:t xml:space="preserve"> : </w:t>
      </w:r>
      <w:r>
        <w:t>Pilotage du portefeuille global d’un acteur mutualiste en assurance vie, épargne retraite et produits de capitalisation.</w:t>
      </w:r>
    </w:p>
    <w:p w14:paraId="5A6152C7" w14:textId="77777777" w:rsidR="000C4F02" w:rsidRDefault="00464D5F">
      <w:pPr>
        <w:spacing w:after="20" w:line="230" w:lineRule="auto"/>
        <w:ind w:left="255" w:hanging="142"/>
      </w:pPr>
      <w:r>
        <w:rPr>
          <w:color w:val="4B0A78"/>
        </w:rPr>
        <w:t xml:space="preserve">• </w:t>
      </w:r>
      <w:r>
        <w:t>Pilotage du budget, du plan de charge, de la capacité à faire et de l’allocation des ressources.</w:t>
      </w:r>
    </w:p>
    <w:p w14:paraId="62B17083" w14:textId="77777777" w:rsidR="000C4F02" w:rsidRDefault="00464D5F">
      <w:pPr>
        <w:spacing w:after="20" w:line="230" w:lineRule="auto"/>
        <w:ind w:left="255" w:hanging="142"/>
      </w:pPr>
      <w:r>
        <w:rPr>
          <w:color w:val="4B0A78"/>
        </w:rPr>
        <w:t xml:space="preserve">• </w:t>
      </w:r>
      <w:r>
        <w:t>Mise en place d’un reporting automatisé, des KPI, plannings et cartographies des risques.</w:t>
      </w:r>
    </w:p>
    <w:p w14:paraId="4C3631B9" w14:textId="77777777" w:rsidR="000C4F02" w:rsidRDefault="00464D5F">
      <w:pPr>
        <w:spacing w:after="20" w:line="230" w:lineRule="auto"/>
        <w:ind w:left="255" w:hanging="142"/>
      </w:pPr>
      <w:r>
        <w:rPr>
          <w:color w:val="4B0A78"/>
        </w:rPr>
        <w:t xml:space="preserve">• </w:t>
      </w:r>
      <w:r>
        <w:t>Préparation et animation des COPROJ, COPIL, RMPP et du COMEX Portefeuille projets.</w:t>
      </w:r>
    </w:p>
    <w:p w14:paraId="561E61C5" w14:textId="77777777" w:rsidR="000C4F02" w:rsidRDefault="00464D5F">
      <w:pPr>
        <w:spacing w:after="20" w:line="230" w:lineRule="auto"/>
        <w:ind w:left="255" w:hanging="142"/>
      </w:pPr>
      <w:r>
        <w:rPr>
          <w:color w:val="4B0A78"/>
        </w:rPr>
        <w:t xml:space="preserve">• </w:t>
      </w:r>
      <w:r>
        <w:t>Alignement des projets sur la stratégie et optimisation des processus de gestion de projet.</w:t>
      </w:r>
    </w:p>
    <w:p w14:paraId="66999B0E" w14:textId="77777777" w:rsidR="000C4F02" w:rsidRDefault="00464D5F">
      <w:pPr>
        <w:spacing w:after="20" w:line="230" w:lineRule="auto"/>
        <w:ind w:left="255" w:hanging="142"/>
      </w:pPr>
      <w:r>
        <w:rPr>
          <w:color w:val="4B0A78"/>
        </w:rPr>
        <w:t xml:space="preserve">• </w:t>
      </w:r>
      <w:r>
        <w:t>Animation de la communauté de gestion de projets et suivi des recettes.</w:t>
      </w:r>
    </w:p>
    <w:p w14:paraId="2DDE55C8" w14:textId="77777777" w:rsidR="000C4F02" w:rsidRDefault="00464D5F">
      <w:pPr>
        <w:spacing w:before="40" w:after="100" w:line="228" w:lineRule="auto"/>
      </w:pPr>
      <w:r>
        <w:rPr>
          <w:b/>
          <w:i/>
          <w:color w:val="4B0A78"/>
        </w:rPr>
        <w:t xml:space="preserve">Impact : </w:t>
      </w:r>
      <w:r>
        <w:rPr>
          <w:i/>
        </w:rPr>
        <w:t>Données de portefeuille, budget et capacité à faire consolidées pour les instances de décision.</w:t>
      </w:r>
    </w:p>
    <w:p w14:paraId="458DB080" w14:textId="77777777" w:rsidR="000C4F02" w:rsidRDefault="00464D5F">
      <w:r>
        <w:br w:type="page"/>
      </w:r>
    </w:p>
    <w:p w14:paraId="67B8E5F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2336" behindDoc="0" locked="0" layoutInCell="1" allowOverlap="1" wp14:anchorId="5F6C1021" wp14:editId="4FB3B441">
                <wp:simplePos x="0" y="0"/>
                <wp:positionH relativeFrom="margin">
                  <wp:posOffset>31750</wp:posOffset>
                </wp:positionH>
                <wp:positionV relativeFrom="paragraph">
                  <wp:posOffset>8255</wp:posOffset>
                </wp:positionV>
                <wp:extent cx="6165850" cy="233680"/>
                <wp:effectExtent l="0" t="0" r="25400" b="13970"/>
                <wp:wrapNone/>
                <wp:docPr id="52"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57" name="Groupe 53"/>
                        <wpg:cNvGrpSpPr/>
                        <wpg:grpSpPr>
                          <a:xfrm>
                            <a:off x="0" y="7315"/>
                            <a:ext cx="6165850" cy="217845"/>
                            <a:chOff x="1" y="80592"/>
                            <a:chExt cx="6166002" cy="218486"/>
                          </a:xfrm>
                        </wpg:grpSpPr>
                        <wps:wsp>
                          <wps:cNvPr id="58"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88788A"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60"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75AC4828" w14:textId="77777777" w:rsidR="000C4F02" w:rsidRDefault="00464D5F">
                              <w:pPr>
                                <w:rPr>
                                  <w:b/>
                                  <w:bCs/>
                                  <w:color w:val="FFFFFF" w:themeColor="background1"/>
                                </w:rPr>
                              </w:pPr>
                              <w:r>
                                <w:rPr>
                                  <w:b/>
                                  <w:bCs/>
                                  <w:color w:val="FFFFFF" w:themeColor="background1"/>
                                </w:rPr>
                                <w:t>EXPÉRIENCE COMPLÉMENTAIRE – BNP PARIBAS / CNAM</w:t>
                              </w:r>
                            </w:p>
                          </w:txbxContent>
                        </wps:txbx>
                        <wps:bodyPr rot="0" vert="horz" wrap="square" lIns="91440" tIns="45720" rIns="91440" bIns="45720" anchor="t" anchorCtr="0">
                          <a:noAutofit/>
                        </wps:bodyPr>
                      </wps:wsp>
                    </wpg:wgp>
                  </a:graphicData>
                </a:graphic>
              </wp:anchor>
            </w:drawing>
          </mc:Choice>
          <mc:Fallback>
            <w:pict>
              <v:group w14:anchorId="5F6C1021" id="_x0000_s1082" alt="Titre de section : ANALYSE TILENCIA" style="position:absolute;margin-left:2.5pt;margin-top:.65pt;width:485.5pt;height:18.4pt;z-index:251662336;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">
                <v:group id="Groupe 53" o:spid="_x0000_s108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shape id="Rectangle : avec coin rogné 54" o:spid="_x0000_s108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5788788A" w14:textId="77777777" w:rsidR="000C4F02" w:rsidRDefault="000C4F02">
                          <w:pPr>
                            <w:jc w:val="left"/>
                            <w:rPr>
                              <w:b/>
                              <w:bCs/>
                              <w:szCs w:val="18"/>
                            </w:rPr>
                          </w:pPr>
                        </w:p>
                      </w:txbxContent>
                    </v:textbox>
                  </v:shape>
                  <v:line id="Connecteur droit 55" o:spid="_x0000_s108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" strokecolor="#4b0a78" strokeweight="2.25pt"/>
                </v:group>
                <v:shape id="Zone de texte 2" o:spid="_x0000_s108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75AC4828" w14:textId="77777777" w:rsidR="000C4F02" w:rsidRDefault="00464D5F">
                        <w:pPr>
                          <w:rPr>
                            <w:b/>
                            <w:bCs/>
                            <w:color w:val="FFFFFF" w:themeColor="background1"/>
                          </w:rPr>
                        </w:pPr>
                        <w:r>
                          <w:rPr>
                            <w:b/>
                            <w:bCs/>
                            <w:color w:val="FFFFFF" w:themeColor="background1"/>
                          </w:rPr>
                          <w:t>EXPÉRIENCE COMPLÉMENTAIRE – BNP PARIBAS / CNAM</w:t>
                        </w:r>
                      </w:p>
                    </w:txbxContent>
                  </v:textbox>
                </v:shape>
                <w10:wrap anchorx="margin"/>
              </v:group>
            </w:pict>
          </mc:Fallback>
        </mc:AlternateContent>
      </w:r>
    </w:p>
    <w:p w14:paraId="3B5BB2F6" w14:textId="77777777" w:rsidR="000C4F02" w:rsidRDefault="00464D5F">
      <w:pPr>
        <w:keepNext/>
        <w:spacing w:before="80" w:line="228" w:lineRule="auto"/>
      </w:pPr>
      <w:r>
        <w:rPr>
          <w:b/>
          <w:color w:val="4B0A78"/>
          <w:sz w:val="20"/>
        </w:rPr>
        <w:t>BNP PARIBAS / CNAM, 2013 – 2018</w:t>
      </w:r>
    </w:p>
    <w:p w14:paraId="47ED6CF8" w14:textId="77777777" w:rsidR="000C4F02" w:rsidRDefault="00464D5F">
      <w:pPr>
        <w:keepNext/>
        <w:spacing w:after="60" w:line="228" w:lineRule="auto"/>
      </w:pPr>
      <w:r>
        <w:rPr>
          <w:b/>
          <w:i/>
          <w:color w:val="808080"/>
          <w:sz w:val="19"/>
        </w:rPr>
        <w:t>PMO Central – Demand, Portfolio &amp; Capacity Management</w:t>
      </w:r>
    </w:p>
    <w:p w14:paraId="7A7A4B9E" w14:textId="77777777" w:rsidR="000C4F02" w:rsidRDefault="00464D5F">
      <w:pPr>
        <w:spacing w:after="40"/>
      </w:pPr>
      <w:r>
        <w:rPr>
          <w:b/>
          <w:color w:val="7030A0"/>
        </w:rPr>
        <w:t>Contexte</w:t>
      </w:r>
      <w:r>
        <w:rPr>
          <w:b/>
          <w:color w:val="3F3F3F"/>
        </w:rPr>
        <w:t xml:space="preserve"> : </w:t>
      </w:r>
      <w:r>
        <w:t>Missions de PMO central sur la gouvernance des demandes, le pilotage budgétaire, le capacity management et la consolidation de portefeuilles à forte volumétrie.</w:t>
      </w:r>
    </w:p>
    <w:p w14:paraId="40B3F152" w14:textId="77777777" w:rsidR="000C4F02" w:rsidRDefault="00464D5F">
      <w:pPr>
        <w:keepNext/>
        <w:spacing w:before="60" w:after="40"/>
      </w:pPr>
      <w:r>
        <w:rPr>
          <w:b/>
          <w:color w:val="4B0A78"/>
          <w:sz w:val="21"/>
        </w:rPr>
        <w:t>Responsabilités et réalisations</w:t>
      </w:r>
    </w:p>
    <w:p w14:paraId="523DB99E" w14:textId="77777777" w:rsidR="000C4F02" w:rsidRDefault="00464D5F">
      <w:pPr>
        <w:spacing w:after="20" w:line="230" w:lineRule="auto"/>
        <w:ind w:left="255" w:hanging="142"/>
      </w:pPr>
      <w:r>
        <w:rPr>
          <w:color w:val="4B0A78"/>
        </w:rPr>
        <w:t xml:space="preserve">• </w:t>
      </w:r>
      <w:r>
        <w:t>Chez BNP Paribas : gouvernance du portefeuille unique des demandes métier, gestion des budgets, arbitrages, capacity management et priorisation sous Clarity PPM.</w:t>
      </w:r>
    </w:p>
    <w:p w14:paraId="2506D2A5" w14:textId="77777777" w:rsidR="000C4F02" w:rsidRDefault="00464D5F">
      <w:pPr>
        <w:spacing w:after="20" w:line="230" w:lineRule="auto"/>
        <w:ind w:left="255" w:hanging="142"/>
      </w:pPr>
      <w:r>
        <w:rPr>
          <w:color w:val="4B0A78"/>
        </w:rPr>
        <w:t xml:space="preserve">• </w:t>
      </w:r>
      <w:r>
        <w:t>Pratique fonctionnelle de Clarity PPM sur les ressources, affectations, projets, feuilles de temps, calendriers, charges et données budgétaires.</w:t>
      </w:r>
    </w:p>
    <w:p w14:paraId="11CBBB2B" w14:textId="77777777" w:rsidR="000C4F02" w:rsidRDefault="00464D5F">
      <w:pPr>
        <w:spacing w:after="20" w:line="230" w:lineRule="auto"/>
        <w:ind w:left="255" w:hanging="142"/>
      </w:pPr>
      <w:r>
        <w:rPr>
          <w:color w:val="4B0A78"/>
        </w:rPr>
        <w:t xml:space="preserve">• </w:t>
      </w:r>
      <w:r>
        <w:t>Réalisation d’extractions, contrôles et corrections de données et accompagnement des utilisateurs Clarity.</w:t>
      </w:r>
    </w:p>
    <w:p w14:paraId="4FD80F13" w14:textId="77777777" w:rsidR="000C4F02" w:rsidRDefault="00464D5F">
      <w:pPr>
        <w:spacing w:after="20" w:line="230" w:lineRule="auto"/>
        <w:ind w:left="255" w:hanging="142"/>
      </w:pPr>
      <w:r>
        <w:rPr>
          <w:color w:val="4B0A78"/>
        </w:rPr>
        <w:t xml:space="preserve">• </w:t>
      </w:r>
      <w:r>
        <w:t>À la CNAM : pilotage d’un portefeuille de 220 M€ et 2 000 projets.</w:t>
      </w:r>
    </w:p>
    <w:p w14:paraId="2EC73D6C" w14:textId="77777777" w:rsidR="000C4F02" w:rsidRDefault="00464D5F">
      <w:pPr>
        <w:spacing w:after="20" w:line="230" w:lineRule="auto"/>
        <w:ind w:left="255" w:hanging="142"/>
      </w:pPr>
      <w:r>
        <w:rPr>
          <w:color w:val="4B0A78"/>
        </w:rPr>
        <w:t xml:space="preserve">• </w:t>
      </w:r>
      <w:r>
        <w:t>Suivi du consommé, du RAF, du réestimé, du prévisionnel et du capacity planning.</w:t>
      </w:r>
    </w:p>
    <w:p w14:paraId="2C8C12D4" w14:textId="77777777" w:rsidR="000C4F02" w:rsidRDefault="00464D5F">
      <w:pPr>
        <w:spacing w:after="20" w:line="230" w:lineRule="auto"/>
        <w:ind w:left="255" w:hanging="142"/>
      </w:pPr>
      <w:r>
        <w:rPr>
          <w:color w:val="4B0A78"/>
        </w:rPr>
        <w:t xml:space="preserve">• </w:t>
      </w:r>
      <w:r>
        <w:t>Automatisation du reporting et des KPI et préparation des tableaux de bord destinés aux instances.</w:t>
      </w:r>
    </w:p>
    <w:p w14:paraId="14BB2A82" w14:textId="77777777" w:rsidR="000C4F02" w:rsidRDefault="00464D5F">
      <w:pPr>
        <w:spacing w:after="20" w:line="230" w:lineRule="auto"/>
        <w:ind w:left="255" w:hanging="142"/>
      </w:pPr>
      <w:r>
        <w:rPr>
          <w:color w:val="4B0A78"/>
        </w:rPr>
        <w:t xml:space="preserve">• </w:t>
      </w:r>
      <w:r>
        <w:t>Animation des comités et accompagnement méthodologique des équipes MOA et MOE.</w:t>
      </w:r>
    </w:p>
    <w:p w14:paraId="6B5A6862" w14:textId="77777777" w:rsidR="000C4F02" w:rsidRDefault="00464D5F">
      <w:pPr>
        <w:spacing w:before="40" w:after="100" w:line="228" w:lineRule="auto"/>
      </w:pPr>
      <w:r>
        <w:rPr>
          <w:b/>
          <w:i/>
          <w:color w:val="4B0A78"/>
        </w:rPr>
        <w:t xml:space="preserve">Impact : </w:t>
      </w:r>
      <w:r>
        <w:rPr>
          <w:i/>
        </w:rPr>
        <w:t>Pilotage d’un portefeuille allant jusqu’à 220 M€ et 2 000 projets, avec consolidation budgétaire et capacitaire.</w:t>
      </w:r>
    </w:p>
    <w:p w14:paraId="0663696C" w14:textId="77777777" w:rsidR="000C4F02" w:rsidRDefault="00464D5F">
      <w:pPr>
        <w:spacing w:after="40"/>
      </w:pPr>
      <w:r>
        <w:rPr>
          <w:b/>
          <w:color w:val="7030A0"/>
        </w:rPr>
        <w:t>Environnement</w:t>
      </w:r>
      <w:r>
        <w:rPr>
          <w:b/>
          <w:color w:val="3F3F3F"/>
        </w:rPr>
        <w:t xml:space="preserve"> : </w:t>
      </w:r>
      <w:r>
        <w:t>Clarity PPM, Sciforma, Microsoft Project, SharePoint, Excel TCD, PowerPoint, budget, RAF, réestimé, capacity planning et KPI.</w:t>
      </w:r>
    </w:p>
    <w:p w14:paraId="1DF83AF9" w14:textId="77777777" w:rsidR="009628C6" w:rsidRDefault="009628C6">
      <w:pPr>
        <w:spacing w:after="40"/>
      </w:pPr>
    </w:p>
    <w:p w14:paraId="7A2EDBDD" w14:textId="77777777" w:rsidR="009628C6" w:rsidRDefault="009628C6">
      <w:pPr>
        <w:spacing w:after="40"/>
      </w:pPr>
    </w:p>
    <w:p w14:paraId="2ED0046A"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63360" behindDoc="0" locked="0" layoutInCell="1" allowOverlap="1" wp14:anchorId="3C16FB87" wp14:editId="58BC42AF">
                <wp:simplePos x="0" y="0"/>
                <wp:positionH relativeFrom="margin">
                  <wp:posOffset>31750</wp:posOffset>
                </wp:positionH>
                <wp:positionV relativeFrom="paragraph">
                  <wp:posOffset>8255</wp:posOffset>
                </wp:positionV>
                <wp:extent cx="6165850" cy="233680"/>
                <wp:effectExtent l="0" t="0" r="25400" b="13970"/>
                <wp:wrapNone/>
                <wp:docPr id="61"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62" name="Groupe 53"/>
                        <wpg:cNvGrpSpPr/>
                        <wpg:grpSpPr>
                          <a:xfrm>
                            <a:off x="0" y="7315"/>
                            <a:ext cx="6165850" cy="217845"/>
                            <a:chOff x="1" y="80592"/>
                            <a:chExt cx="6166002" cy="218486"/>
                          </a:xfrm>
                        </wpg:grpSpPr>
                        <wps:wsp>
                          <wps:cNvPr id="63"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C290F6"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6"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57"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4D173F54" w14:textId="77777777" w:rsidR="000C4F02" w:rsidRDefault="00464D5F">
                              <w:pPr>
                                <w:rPr>
                                  <w:b/>
                                  <w:bCs/>
                                  <w:color w:val="FFFFFF" w:themeColor="background1"/>
                                </w:rPr>
                              </w:pPr>
                              <w:r>
                                <w:rPr>
                                  <w:b/>
                                  <w:bCs/>
                                  <w:color w:val="FFFFFF" w:themeColor="background1"/>
                                </w:rPr>
                                <w:t>QUALITÉS PROFESSIONNELLES</w:t>
                              </w:r>
                            </w:p>
                          </w:txbxContent>
                        </wps:txbx>
                        <wps:bodyPr rot="0" vert="horz" wrap="square" lIns="91440" tIns="45720" rIns="91440" bIns="45720" anchor="t" anchorCtr="0">
                          <a:noAutofit/>
                        </wps:bodyPr>
                      </wps:wsp>
                    </wpg:wgp>
                  </a:graphicData>
                </a:graphic>
              </wp:anchor>
            </w:drawing>
          </mc:Choice>
          <mc:Fallback>
            <w:pict>
              <v:group w14:anchorId="3C16FB87" id="_x0000_s1087" alt="Titre de section : ANALYSE TILENCIA" style="position:absolute;margin-left:2.5pt;margin-top:.65pt;width:485.5pt;height:18.4pt;z-index:251663360;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">
                <v:group id="Groupe 53" o:spid="_x0000_s108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shape id="Rectangle : avec coin rogné 54" o:spid="_x0000_s108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0FC290F6" w14:textId="77777777" w:rsidR="000C4F02" w:rsidRDefault="000C4F02">
                          <w:pPr>
                            <w:jc w:val="left"/>
                            <w:rPr>
                              <w:b/>
                              <w:bCs/>
                              <w:szCs w:val="18"/>
                            </w:rPr>
                          </w:pPr>
                        </w:p>
                      </w:txbxContent>
                    </v:textbox>
                  </v:shape>
                  <v:line id="Connecteur droit 55" o:spid="_x0000_s109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" strokecolor="#4b0a78" strokeweight="2.25pt"/>
                </v:group>
                <v:shape id="Zone de texte 2" o:spid="_x0000_s109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14:paraId="4D173F54" w14:textId="77777777" w:rsidR="000C4F02" w:rsidRDefault="00464D5F">
                        <w:pPr>
                          <w:rPr>
                            <w:b/>
                            <w:bCs/>
                            <w:color w:val="FFFFFF" w:themeColor="background1"/>
                          </w:rPr>
                        </w:pPr>
                        <w:r>
                          <w:rPr>
                            <w:b/>
                            <w:bCs/>
                            <w:color w:val="FFFFFF" w:themeColor="background1"/>
                          </w:rPr>
                          <w:t>QUALITÉS PROFESSIONNELLES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4592"/>
        <w:gridCol w:w="4592"/>
      </w:tblGrid>
      <w:tr w:rsidR="000C4F02" w14:paraId="6A03AA80"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7D46287A" w14:textId="77777777" w:rsidR="000C4F02" w:rsidRDefault="00464D5F">
            <w:pPr>
              <w:spacing w:after="60" w:line="228" w:lineRule="auto"/>
            </w:pPr>
            <w:r>
              <w:rPr>
                <w:b/>
                <w:color w:val="4B0A78"/>
              </w:rPr>
              <w:t>Rigueur &amp; fiabilité</w:t>
            </w:r>
          </w:p>
          <w:p w14:paraId="078BC596" w14:textId="77777777" w:rsidR="000C4F02" w:rsidRDefault="00464D5F">
            <w:pPr>
              <w:spacing w:line="228" w:lineRule="auto"/>
            </w:pPr>
            <w:r>
              <w:rPr>
                <w:sz w:val="17"/>
              </w:rPr>
              <w:t>Contrôle des données, respect des calendriers d’arrêté et traçabilité des écarts et corrections.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1827C950" w14:textId="77777777" w:rsidR="000C4F02" w:rsidRDefault="00464D5F">
            <w:pPr>
              <w:spacing w:after="60" w:line="228" w:lineRule="auto"/>
            </w:pPr>
            <w:r>
              <w:rPr>
                <w:b/>
                <w:color w:val="4B0A78"/>
              </w:rPr>
              <w:t>Analyse &amp; synthèse</w:t>
            </w:r>
          </w:p>
          <w:p w14:paraId="4962AFEB" w14:textId="77777777" w:rsidR="000C4F02" w:rsidRDefault="00464D5F">
            <w:pPr>
              <w:spacing w:line="228" w:lineRule="auto"/>
            </w:pPr>
            <w:r>
              <w:rPr>
                <w:sz w:val="17"/>
              </w:rPr>
              <w:t>Consolidation de données complexes et restitution des points clés aux instances de décision.</w:t>
            </w:r>
          </w:p>
        </w:tc>
      </w:tr>
      <w:tr w:rsidR="000C4F02" w14:paraId="43949723"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29B0F26D" w14:textId="77777777" w:rsidR="000C4F02" w:rsidRDefault="00464D5F">
            <w:pPr>
              <w:spacing w:after="60" w:line="228" w:lineRule="auto"/>
            </w:pPr>
            <w:r>
              <w:rPr>
                <w:b/>
                <w:color w:val="4B0A78"/>
              </w:rPr>
              <w:t>Communication</w:t>
            </w:r>
          </w:p>
          <w:p w14:paraId="04511818" w14:textId="77777777" w:rsidR="000C4F02" w:rsidRDefault="00464D5F">
            <w:pPr>
              <w:spacing w:line="228" w:lineRule="auto"/>
            </w:pPr>
            <w:r>
              <w:rPr>
                <w:sz w:val="17"/>
              </w:rPr>
              <w:t>Interface avec les PMO, chefs de projet, directions métiers, DSI, Finance et Contrôle de gestion.</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3615F1B0" w14:textId="77777777" w:rsidR="000C4F02" w:rsidRDefault="00464D5F">
            <w:pPr>
              <w:spacing w:after="60" w:line="228" w:lineRule="auto"/>
            </w:pPr>
            <w:r>
              <w:rPr>
                <w:b/>
                <w:color w:val="4B0A78"/>
              </w:rPr>
              <w:t>Pédagogie</w:t>
            </w:r>
          </w:p>
          <w:p w14:paraId="02E5C3C9" w14:textId="77777777" w:rsidR="000C4F02" w:rsidRDefault="00464D5F">
            <w:pPr>
              <w:spacing w:line="228" w:lineRule="auto"/>
            </w:pPr>
            <w:r>
              <w:rPr>
                <w:sz w:val="17"/>
              </w:rPr>
              <w:t>Accompagnement des utilisateurs, formalisation des standards et adaptation du discours aux interlocuteurs.</w:t>
            </w:r>
          </w:p>
        </w:tc>
      </w:tr>
      <w:tr w:rsidR="000C4F02" w14:paraId="386E49C0" w14:textId="77777777">
        <w:trPr>
          <w:cantSplit/>
          <w:jc w:val="center"/>
        </w:trPr>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3676FE7F" w14:textId="77777777" w:rsidR="000C4F02" w:rsidRDefault="00464D5F">
            <w:pPr>
              <w:spacing w:after="60" w:line="228" w:lineRule="auto"/>
            </w:pPr>
            <w:r>
              <w:rPr>
                <w:b/>
                <w:color w:val="4B0A78"/>
              </w:rPr>
              <w:t>Autonomie</w:t>
            </w:r>
          </w:p>
          <w:p w14:paraId="0E0E2462" w14:textId="77777777" w:rsidR="000C4F02" w:rsidRDefault="00464D5F">
            <w:pPr>
              <w:spacing w:line="228" w:lineRule="auto"/>
            </w:pPr>
            <w:r>
              <w:rPr>
                <w:sz w:val="17"/>
              </w:rPr>
              <w:t>Prise en charge de processus récurrents, identification des risques et proposition d’améliorations.</w:t>
            </w:r>
          </w:p>
        </w:tc>
        <w:tc>
          <w:tcPr>
            <w:tcW w:w="4592" w:type="dxa"/>
            <w:tcBorders>
              <w:top w:val="single" w:sz="8" w:space="0" w:color="7030A0"/>
              <w:left w:val="single" w:sz="4" w:space="0" w:color="D9D9D9"/>
              <w:bottom w:val="single" w:sz="4" w:space="0" w:color="D9D9D9"/>
              <w:right w:val="single" w:sz="4" w:space="0" w:color="D9D9D9"/>
            </w:tcBorders>
            <w:shd w:val="clear" w:color="auto" w:fill="FBFAFC"/>
            <w:tcMar>
              <w:top w:w="120" w:type="dxa"/>
              <w:left w:w="130" w:type="dxa"/>
              <w:bottom w:w="120" w:type="dxa"/>
              <w:right w:w="130" w:type="dxa"/>
            </w:tcMar>
          </w:tcPr>
          <w:p w14:paraId="4F9679B3" w14:textId="77777777" w:rsidR="000C4F02" w:rsidRDefault="00464D5F">
            <w:pPr>
              <w:spacing w:after="60" w:line="228" w:lineRule="auto"/>
            </w:pPr>
            <w:r>
              <w:rPr>
                <w:b/>
                <w:color w:val="4B0A78"/>
              </w:rPr>
              <w:t>Coordination transverse</w:t>
            </w:r>
          </w:p>
          <w:p w14:paraId="5AC7A769" w14:textId="77777777" w:rsidR="000C4F02" w:rsidRDefault="00464D5F">
            <w:pPr>
              <w:spacing w:line="228" w:lineRule="auto"/>
            </w:pPr>
            <w:r>
              <w:rPr>
                <w:sz w:val="17"/>
              </w:rPr>
              <w:t>Animation de parties prenantes multiples et sécurisation des contributions aux revues et clôtures.</w:t>
            </w:r>
          </w:p>
        </w:tc>
      </w:tr>
    </w:tbl>
    <w:p w14:paraId="7A102616" w14:textId="77777777" w:rsidR="000C4F02" w:rsidRDefault="000C4F02">
      <w:pPr>
        <w:spacing w:after="20"/>
      </w:pPr>
    </w:p>
    <w:p w14:paraId="589203F1" w14:textId="77777777" w:rsidR="000C4F02" w:rsidRDefault="00464D5F">
      <w:r>
        <w:br w:type="page"/>
      </w:r>
    </w:p>
    <w:p w14:paraId="74AE0865"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w:lastRenderedPageBreak/>
        <mc:AlternateContent>
          <mc:Choice Requires="wpg">
            <w:drawing>
              <wp:anchor distT="0" distB="0" distL="114300" distR="114300" simplePos="0" relativeHeight="251664384" behindDoc="0" locked="0" layoutInCell="1" allowOverlap="1" wp14:anchorId="495708D8" wp14:editId="2AFB1512">
                <wp:simplePos x="0" y="0"/>
                <wp:positionH relativeFrom="margin">
                  <wp:posOffset>31750</wp:posOffset>
                </wp:positionH>
                <wp:positionV relativeFrom="paragraph">
                  <wp:posOffset>8255</wp:posOffset>
                </wp:positionV>
                <wp:extent cx="6165850" cy="233680"/>
                <wp:effectExtent l="0" t="0" r="25400" b="13970"/>
                <wp:wrapNone/>
                <wp:docPr id="258"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59" name="Groupe 53"/>
                        <wpg:cNvGrpSpPr/>
                        <wpg:grpSpPr>
                          <a:xfrm>
                            <a:off x="0" y="7315"/>
                            <a:ext cx="6165850" cy="217845"/>
                            <a:chOff x="1" y="80592"/>
                            <a:chExt cx="6166002" cy="218486"/>
                          </a:xfrm>
                        </wpg:grpSpPr>
                        <wps:wsp>
                          <wps:cNvPr id="260"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DE1A2D"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1"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62"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6E5BB6E2" w14:textId="77777777" w:rsidR="000C4F02" w:rsidRDefault="00464D5F">
                              <w:pPr>
                                <w:rPr>
                                  <w:b/>
                                  <w:bCs/>
                                  <w:color w:val="FFFFFF" w:themeColor="background1"/>
                                </w:rPr>
                              </w:pPr>
                              <w:r>
                                <w:rPr>
                                  <w:b/>
                                  <w:bCs/>
                                  <w:color w:val="FFFFFF" w:themeColor="background1"/>
                                </w:rPr>
                                <w:t>FORMATIONS &amp; CERTIFICATIONS</w:t>
                              </w:r>
                            </w:p>
                          </w:txbxContent>
                        </wps:txbx>
                        <wps:bodyPr rot="0" vert="horz" wrap="square" lIns="91440" tIns="45720" rIns="91440" bIns="45720" anchor="t" anchorCtr="0">
                          <a:noAutofit/>
                        </wps:bodyPr>
                      </wps:wsp>
                    </wpg:wgp>
                  </a:graphicData>
                </a:graphic>
              </wp:anchor>
            </w:drawing>
          </mc:Choice>
          <mc:Fallback>
            <w:pict>
              <v:group w14:anchorId="495708D8" id="_x0000_s1092" alt="Titre de section : ANALYSE TILENCIA" style="position:absolute;margin-left:2.5pt;margin-top:.65pt;width:485.5pt;height:18.4pt;z-index:251664384;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">
                <v:group id="Groupe 53" o:spid="_x0000_s1093"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Rectangle : avec coin rogné 54" o:spid="_x0000_s1094"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6BDE1A2D" w14:textId="77777777" w:rsidR="000C4F02" w:rsidRDefault="000C4F02">
                          <w:pPr>
                            <w:jc w:val="left"/>
                            <w:rPr>
                              <w:b/>
                              <w:bCs/>
                              <w:szCs w:val="18"/>
                            </w:rPr>
                          </w:pPr>
                        </w:p>
                      </w:txbxContent>
                    </v:textbox>
                  </v:shape>
                  <v:line id="Connecteur droit 55" o:spid="_x0000_s1095"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" strokecolor="#4b0a78" strokeweight="2.25pt"/>
                </v:group>
                <v:shape id="Zone de texte 2" o:spid="_x0000_s1096"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6E5BB6E2" w14:textId="77777777" w:rsidR="000C4F02" w:rsidRDefault="00464D5F">
                        <w:pPr>
                          <w:rPr>
                            <w:b/>
                            <w:bCs/>
                            <w:color w:val="FFFFFF" w:themeColor="background1"/>
                          </w:rPr>
                        </w:pPr>
                        <w:r>
                          <w:rPr>
                            <w:b/>
                            <w:bCs/>
                            <w:color w:val="FFFFFF" w:themeColor="background1"/>
                          </w:rPr>
                          <w:t>FORMATIONS &amp; CERTIFICATIONS</w:t>
                        </w:r>
                      </w:p>
                    </w:txbxContent>
                  </v:textbox>
                </v:shape>
                <w10:wrap anchorx="margin"/>
              </v:group>
            </w:pict>
          </mc:Fallback>
        </mc:AlternateContent>
      </w:r>
    </w:p>
    <w:tbl>
      <w:tblPr>
        <w:tblW w:w="0" w:type="auto"/>
        <w:jc w:val="center"/>
        <w:tblLayout w:type="fixed"/>
        <w:tblLook w:val="04A0" w:firstRow="1" w:lastRow="0" w:firstColumn="1" w:lastColumn="0" w:noHBand="0" w:noVBand="1"/>
      </w:tblPr>
      <w:tblGrid>
        <w:gridCol w:w="2098"/>
        <w:gridCol w:w="7200"/>
      </w:tblGrid>
      <w:tr w:rsidR="000C4F02" w14:paraId="3D3D5265"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1301D09A" w14:textId="77777777" w:rsidR="000C4F02" w:rsidRDefault="00464D5F">
            <w:pPr>
              <w:spacing w:line="228" w:lineRule="auto"/>
            </w:pPr>
            <w:r>
              <w:rPr>
                <w:b/>
                <w:color w:val="4B0A78"/>
                <w:sz w:val="17"/>
              </w:rPr>
              <w:t>2026 – 2024</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47AC6F79" w14:textId="77777777" w:rsidR="000C4F02" w:rsidRDefault="00464D5F">
            <w:pPr>
              <w:spacing w:line="228" w:lineRule="auto"/>
            </w:pPr>
            <w:r>
              <w:rPr>
                <w:sz w:val="17"/>
              </w:rPr>
              <w:t>École Polytechnique Executive Education – Diriger avec la Data et l’IA ; Revolia – Agents IA ; Georgetown University – Executive Management</w:t>
            </w:r>
          </w:p>
        </w:tc>
      </w:tr>
      <w:tr w:rsidR="000C4F02" w14:paraId="0E622F65"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EADFF2"/>
            <w:tcMar>
              <w:top w:w="80" w:type="dxa"/>
              <w:left w:w="100" w:type="dxa"/>
              <w:bottom w:w="80" w:type="dxa"/>
              <w:right w:w="100" w:type="dxa"/>
            </w:tcMar>
            <w:vAlign w:val="center"/>
          </w:tcPr>
          <w:p w14:paraId="748EB392" w14:textId="77777777" w:rsidR="000C4F02" w:rsidRDefault="00464D5F">
            <w:pPr>
              <w:spacing w:line="228" w:lineRule="auto"/>
            </w:pPr>
            <w:r>
              <w:rPr>
                <w:b/>
                <w:color w:val="4B0A78"/>
                <w:sz w:val="17"/>
              </w:rPr>
              <w:t>2019 – 2010</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18BE1CD" w14:textId="77777777" w:rsidR="000C4F02" w:rsidRDefault="00464D5F">
            <w:pPr>
              <w:spacing w:line="228" w:lineRule="auto"/>
            </w:pPr>
            <w:r>
              <w:rPr>
                <w:sz w:val="17"/>
              </w:rPr>
              <w:t>HEC Paris – Stratégie ; Sorbonne Business School – Global Executive MBA ; ESCP Business School – Executive Master Finance</w:t>
            </w:r>
          </w:p>
        </w:tc>
      </w:tr>
      <w:tr w:rsidR="000C4F02" w14:paraId="0E01D1CA" w14:textId="77777777">
        <w:trPr>
          <w:cantSplit/>
          <w:jc w:val="center"/>
        </w:trPr>
        <w:tc>
          <w:tcPr>
            <w:tcW w:w="2098" w:type="dxa"/>
            <w:tcBorders>
              <w:top w:val="single" w:sz="4" w:space="0" w:color="D9D9D9"/>
              <w:left w:val="single" w:sz="4" w:space="0" w:color="D9D9D9"/>
              <w:bottom w:val="single" w:sz="4" w:space="0" w:color="D9D9D9"/>
              <w:right w:val="single" w:sz="4" w:space="0" w:color="D9D9D9"/>
            </w:tcBorders>
            <w:shd w:val="clear" w:color="auto" w:fill="F4EFF8"/>
            <w:tcMar>
              <w:top w:w="80" w:type="dxa"/>
              <w:left w:w="100" w:type="dxa"/>
              <w:bottom w:w="80" w:type="dxa"/>
              <w:right w:w="100" w:type="dxa"/>
            </w:tcMar>
            <w:vAlign w:val="center"/>
          </w:tcPr>
          <w:p w14:paraId="67C0F8D3" w14:textId="77777777" w:rsidR="000C4F02" w:rsidRDefault="00464D5F">
            <w:pPr>
              <w:spacing w:line="228" w:lineRule="auto"/>
            </w:pPr>
            <w:r>
              <w:rPr>
                <w:b/>
                <w:color w:val="4B0A78"/>
                <w:sz w:val="17"/>
              </w:rPr>
              <w:t>2004 – 2002</w:t>
            </w:r>
          </w:p>
        </w:tc>
        <w:tc>
          <w:tcPr>
            <w:tcW w:w="72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7116AD43" w14:textId="77777777" w:rsidR="000C4F02" w:rsidRDefault="00464D5F">
            <w:pPr>
              <w:spacing w:line="228" w:lineRule="auto"/>
            </w:pPr>
            <w:r>
              <w:rPr>
                <w:sz w:val="17"/>
              </w:rPr>
              <w:t>École Centrale Paris – Executive Master IT ; Université Paris Dauphine – Master MIAGE</w:t>
            </w:r>
          </w:p>
        </w:tc>
      </w:tr>
    </w:tbl>
    <w:p w14:paraId="76D9DBF7" w14:textId="77777777" w:rsidR="000C4F02" w:rsidRDefault="000C4F02">
      <w:pPr>
        <w:spacing w:after="20"/>
      </w:pPr>
    </w:p>
    <w:p w14:paraId="3CCADD3B" w14:textId="77777777" w:rsidR="009628C6" w:rsidRDefault="009628C6">
      <w:pPr>
        <w:spacing w:after="20"/>
      </w:pPr>
    </w:p>
    <w:p w14:paraId="0EF1129F" w14:textId="77777777" w:rsidR="009628C6" w:rsidRDefault="009628C6">
      <w:pPr>
        <w:spacing w:after="20"/>
      </w:pPr>
    </w:p>
    <w:p w14:paraId="1ED88BAB" w14:textId="77777777" w:rsidR="000C4F02" w:rsidRDefault="00464D5F">
      <w:pPr>
        <w:pStyle w:val="Aexprience"/>
        <w:keepNext/>
        <w:tabs>
          <w:tab w:val="right" w:pos="3546"/>
        </w:tabs>
        <w:spacing w:before="80" w:after="320" w:line="220" w:lineRule="auto"/>
        <w:ind w:right="-141"/>
        <w:jc w:val="left"/>
        <w:rPr>
          <w:rFonts w:eastAsia="BerkeleyOldEFOP-Book" w:cs="Arial"/>
          <w:b w:val="0"/>
          <w:snapToGrid/>
          <w:color w:val="808080" w:themeColor="background1" w:themeShade="80"/>
          <w:szCs w:val="18"/>
          <w:lang w:eastAsia="en-US"/>
        </w:rPr>
      </w:pPr>
      <w:r>
        <w:rPr>
          <w:rFonts w:cs="Arial"/>
          <w:caps/>
          <w:noProof/>
          <w:snapToGrid/>
          <w:color w:val="0D0D0D" w:themeColor="text1" w:themeTint="F2"/>
        </w:rPr>
        <mc:AlternateContent>
          <mc:Choice Requires="wpg">
            <w:drawing>
              <wp:anchor distT="0" distB="0" distL="114300" distR="114300" simplePos="0" relativeHeight="251665408" behindDoc="0" locked="0" layoutInCell="1" allowOverlap="1" wp14:anchorId="7D641BC4" wp14:editId="048A324E">
                <wp:simplePos x="0" y="0"/>
                <wp:positionH relativeFrom="margin">
                  <wp:posOffset>31750</wp:posOffset>
                </wp:positionH>
                <wp:positionV relativeFrom="paragraph">
                  <wp:posOffset>8255</wp:posOffset>
                </wp:positionV>
                <wp:extent cx="6165850" cy="233680"/>
                <wp:effectExtent l="0" t="0" r="25400" b="13970"/>
                <wp:wrapNone/>
                <wp:docPr id="263" name="Bloc titre 301" descr="Titre de section : ANALYSE TILENCIA"/>
                <wp:cNvGraphicFramePr/>
                <a:graphic xmlns:a="http://schemas.openxmlformats.org/drawingml/2006/main">
                  <a:graphicData uri="http://schemas.microsoft.com/office/word/2010/wordprocessingGroup">
                    <wpg:wgp>
                      <wpg:cNvGrpSpPr/>
                      <wpg:grpSpPr>
                        <a:xfrm>
                          <a:off x="0" y="0"/>
                          <a:ext cx="6165850" cy="233680"/>
                          <a:chOff x="0" y="0"/>
                          <a:chExt cx="6165850" cy="233680"/>
                        </a:xfrm>
                      </wpg:grpSpPr>
                      <wpg:grpSp>
                        <wpg:cNvPr id="264" name="Groupe 53"/>
                        <wpg:cNvGrpSpPr/>
                        <wpg:grpSpPr>
                          <a:xfrm>
                            <a:off x="0" y="7315"/>
                            <a:ext cx="6165850" cy="217845"/>
                            <a:chOff x="1" y="80592"/>
                            <a:chExt cx="6166002" cy="218486"/>
                          </a:xfrm>
                        </wpg:grpSpPr>
                        <wps:wsp>
                          <wps:cNvPr id="265" name="Rectangle : avec coin rogné 54"/>
                          <wps:cNvSpPr/>
                          <wps:spPr>
                            <a:xfrm>
                              <a:off x="1" y="80592"/>
                              <a:ext cx="3469710" cy="218486"/>
                            </a:xfrm>
                            <a:prstGeom prst="snip1Rect">
                              <a:avLst>
                                <a:gd name="adj" fmla="val 50000"/>
                              </a:avLst>
                            </a:prstGeom>
                            <a:solidFill>
                              <a:srgbClr val="4B0A78"/>
                            </a:solidFill>
                            <a:ln>
                              <a:solidFill>
                                <a:srgbClr val="4B0A7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CC8106" w14:textId="77777777" w:rsidR="000C4F02" w:rsidRDefault="000C4F02">
                                <w:pPr>
                                  <w:jc w:val="left"/>
                                  <w:rPr>
                                    <w:b/>
                                    <w:bCs/>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6" name="Connecteur droit 55"/>
                          <wps:cNvCnPr/>
                          <wps:spPr>
                            <a:xfrm>
                              <a:off x="3397996" y="197179"/>
                              <a:ext cx="2768007" cy="8239"/>
                            </a:xfrm>
                            <a:prstGeom prst="line">
                              <a:avLst/>
                            </a:prstGeom>
                            <a:ln w="28575">
                              <a:solidFill>
                                <a:srgbClr val="4B0A78"/>
                              </a:solidFill>
                            </a:ln>
                          </wps:spPr>
                          <wps:style>
                            <a:lnRef idx="1">
                              <a:schemeClr val="accent1"/>
                            </a:lnRef>
                            <a:fillRef idx="0">
                              <a:schemeClr val="accent1"/>
                            </a:fillRef>
                            <a:effectRef idx="0">
                              <a:schemeClr val="accent1"/>
                            </a:effectRef>
                            <a:fontRef idx="minor">
                              <a:schemeClr val="tx1"/>
                            </a:fontRef>
                          </wps:style>
                          <wps:bodyPr/>
                        </wps:wsp>
                      </wpg:grpSp>
                      <wps:wsp>
                        <wps:cNvPr id="267" name="Zone de texte 2"/>
                        <wps:cNvSpPr txBox="1">
                          <a:spLocks noChangeArrowheads="1"/>
                        </wps:cNvSpPr>
                        <wps:spPr bwMode="auto">
                          <a:xfrm>
                            <a:off x="3657" y="0"/>
                            <a:ext cx="4078223" cy="233680"/>
                          </a:xfrm>
                          <a:prstGeom prst="rect">
                            <a:avLst/>
                          </a:prstGeom>
                          <a:noFill/>
                          <a:ln w="9525">
                            <a:noFill/>
                            <a:miter lim="800000"/>
                            <a:headEnd/>
                            <a:tailEnd/>
                          </a:ln>
                        </wps:spPr>
                        <wps:txbx>
                          <w:txbxContent>
                            <w:p w14:paraId="38560B51" w14:textId="77777777" w:rsidR="000C4F02" w:rsidRDefault="00464D5F">
                              <w:pPr>
                                <w:rPr>
                                  <w:b/>
                                  <w:bCs/>
                                  <w:color w:val="FFFFFF" w:themeColor="background1"/>
                                </w:rPr>
                              </w:pPr>
                              <w:r>
                                <w:rPr>
                                  <w:b/>
                                  <w:bCs/>
                                  <w:color w:val="FFFFFF" w:themeColor="background1"/>
                                </w:rPr>
                                <w:t>SYNTHÈSE DE POSITIONNEMENT</w:t>
                              </w:r>
                            </w:p>
                          </w:txbxContent>
                        </wps:txbx>
                        <wps:bodyPr rot="0" vert="horz" wrap="square" lIns="91440" tIns="45720" rIns="91440" bIns="45720" anchor="t" anchorCtr="0">
                          <a:noAutofit/>
                        </wps:bodyPr>
                      </wps:wsp>
                    </wpg:wgp>
                  </a:graphicData>
                </a:graphic>
              </wp:anchor>
            </w:drawing>
          </mc:Choice>
          <mc:Fallback>
            <w:pict>
              <v:group w14:anchorId="7D641BC4" id="_x0000_s1097" alt="Titre de section : ANALYSE TILENCIA" style="position:absolute;margin-left:2.5pt;margin-top:.65pt;width:485.5pt;height:18.4pt;z-index:251665408;mso-position-horizontal-relative:margin" coordsize="61658,2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">
                <v:group id="Groupe 53" o:spid="_x0000_s1098" style="position:absolute;top:73;width:61658;height:2178" coordorigin=",805" coordsize="61660,2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Rectangle : avec coin rogné 54" o:spid="_x0000_s1099" style="position:absolute;top:805;width:34697;height:2185;visibility:visible;mso-wrap-style:square;v-text-anchor:top" coordsize="3469710,2184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" adj="-11796480,,5400" path="m,l3360467,r109243,109243l3469710,218486,,218486,,xe" fillcolor="#4b0a78" strokecolor="#4b0a78" strokeweight="2pt">
                    <v:stroke joinstyle="miter"/>
                    <v:formulas/>
                    <v:path arrowok="t" o:connecttype="custom" o:connectlocs="0,0;3360467,0;3469710,109243;3469710,218486;0,218486;0,0" o:connectangles="0,0,0,0,0,0" textboxrect="0,0,3469710,218486"/>
                    <v:textbox>
                      <w:txbxContent>
                        <w:p w14:paraId="13CC8106" w14:textId="77777777" w:rsidR="000C4F02" w:rsidRDefault="000C4F02">
                          <w:pPr>
                            <w:jc w:val="left"/>
                            <w:rPr>
                              <w:b/>
                              <w:bCs/>
                              <w:szCs w:val="18"/>
                            </w:rPr>
                          </w:pPr>
                        </w:p>
                      </w:txbxContent>
                    </v:textbox>
                  </v:shape>
                  <v:line id="Connecteur droit 55" o:spid="_x0000_s1100" style="position:absolute;visibility:visible;mso-wrap-style:square" from="33979,1971" to="61660,20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" strokecolor="#4b0a78" strokeweight="2.25pt"/>
                </v:group>
                <v:shape id="Zone de texte 2" o:spid="_x0000_s1101" type="#_x0000_t202" style="position:absolute;left:36;width:40782;height:2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14:paraId="38560B51" w14:textId="77777777" w:rsidR="000C4F02" w:rsidRDefault="00464D5F">
                        <w:pPr>
                          <w:rPr>
                            <w:b/>
                            <w:bCs/>
                            <w:color w:val="FFFFFF" w:themeColor="background1"/>
                          </w:rPr>
                        </w:pPr>
                        <w:r>
                          <w:rPr>
                            <w:b/>
                            <w:bCs/>
                            <w:color w:val="FFFFFF" w:themeColor="background1"/>
                          </w:rPr>
                          <w:t>SYNTHÈSE DE POSITIONNEMENT</w:t>
                        </w:r>
                      </w:p>
                    </w:txbxContent>
                  </v:textbox>
                </v:shape>
                <w10:wrap anchorx="margin"/>
              </v:group>
            </w:pict>
          </mc:Fallback>
        </mc:AlternateContent>
      </w:r>
    </w:p>
    <w:p w14:paraId="7472D930" w14:textId="6F2102BE" w:rsidR="000C4F02" w:rsidRDefault="00975AFF" w:rsidP="009628C6">
      <w:pPr>
        <w:spacing w:after="60"/>
        <w:ind w:firstLine="720"/>
        <w:jc w:val="left"/>
      </w:pPr>
      <w:r>
        <w:t>ELA présente une forte correspondance avec la mission d’administration du plan de charge et de gouvernance SI. Son expérience combine le pilotage d’un plan de charge DSI consolidé, les arbitrages capacitaires, les arrêtés mensuels, le suivi budgétaire, Clarity PPM, Excel/VBA, Access et la production de supports de décision.</w:t>
      </w:r>
    </w:p>
    <w:p w14:paraId="357378CE" w14:textId="77777777" w:rsidR="00990D94" w:rsidRDefault="00990D94" w:rsidP="009628C6">
      <w:pPr>
        <w:spacing w:after="60"/>
        <w:ind w:firstLine="720"/>
        <w:jc w:val="left"/>
      </w:pPr>
    </w:p>
    <w:p w14:paraId="7502FDDF" w14:textId="6B0EE4FC" w:rsidR="000C4F02" w:rsidRDefault="00464D5F" w:rsidP="009628C6">
      <w:pPr>
        <w:spacing w:after="60"/>
        <w:ind w:firstLine="720"/>
        <w:jc w:val="left"/>
      </w:pPr>
      <w:r>
        <w:t>Son parcours chez ADP, Malakoff Humanis, La France Mutualiste, BNP Paribas et la CNAM lui apporte une expérience directement mobilisable sur les dimensions plan de charge, budget, retraite complémentaire et gouvernance transverse.</w:t>
      </w:r>
    </w:p>
    <w:p w14:paraId="33CC5B7B" w14:textId="77777777" w:rsidR="009628C6" w:rsidRDefault="009628C6">
      <w:pPr>
        <w:spacing w:after="60"/>
        <w:jc w:val="left"/>
      </w:pPr>
    </w:p>
    <w:p w14:paraId="004788BC" w14:textId="41DE4B03" w:rsidR="000C4F02" w:rsidRDefault="000C4F02">
      <w:pPr>
        <w:spacing w:after="20" w:line="230" w:lineRule="auto"/>
        <w:ind w:left="255" w:hanging="142"/>
      </w:pPr>
    </w:p>
    <w:sectPr w:rsidR="000C4F02">
      <w:headerReference w:type="even" r:id="rId11"/>
      <w:headerReference w:type="default" r:id="rId12"/>
      <w:footerReference w:type="even" r:id="rId13"/>
      <w:footerReference w:type="default" r:id="rId14"/>
      <w:headerReference w:type="first" r:id="rId15"/>
      <w:footerReference w:type="first" r:id="rId16"/>
      <w:pgSz w:w="11906" w:h="16838" w:code="9"/>
      <w:pgMar w:top="1440" w:right="1080" w:bottom="1440" w:left="1080" w:header="567" w:footer="69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F1D72" w14:textId="77777777" w:rsidR="00481319" w:rsidRDefault="00481319">
      <w:r>
        <w:separator/>
      </w:r>
    </w:p>
  </w:endnote>
  <w:endnote w:type="continuationSeparator" w:id="0">
    <w:p w14:paraId="1B8D7E5D" w14:textId="77777777" w:rsidR="00481319" w:rsidRDefault="00481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ansation">
    <w:altName w:val="Arial"/>
    <w:charset w:val="00"/>
    <w:family w:val="swiss"/>
    <w:pitch w:val="default"/>
  </w:font>
  <w:font w:name="BerkeleyOldEFOP-Book">
    <w:altName w:val="Bell MT"/>
    <w:panose1 w:val="00000000000000000000"/>
    <w:charset w:val="00"/>
    <w:family w:val="modern"/>
    <w:notTrueType/>
    <w:pitch w:val="variable"/>
    <w:sig w:usb0="00000003" w:usb1="4000204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86745" w14:textId="77777777" w:rsidR="000C4F02" w:rsidRDefault="00464D5F">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68FEB1DB" w14:textId="77777777" w:rsidR="000C4F02" w:rsidRDefault="00464D5F">
    <w:pPr>
      <w:jc w:val="center"/>
      <w:rPr>
        <w:b/>
        <w:bCs/>
        <w:color w:val="808080" w:themeColor="background1" w:themeShade="80"/>
        <w:sz w:val="16"/>
        <w:szCs w:val="16"/>
      </w:rPr>
    </w:pPr>
    <w:r>
      <w:rPr>
        <w:rFonts w:cs="Arial"/>
        <w:color w:val="808080"/>
        <w:sz w:val="16"/>
        <w:szCs w:val="16"/>
      </w:rPr>
      <w:t>www.tilencia.ai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66FFE" w14:textId="77777777" w:rsidR="000C4F02" w:rsidRDefault="00464D5F">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 2026</w:t>
    </w:r>
  </w:p>
  <w:p w14:paraId="7383528A" w14:textId="77777777" w:rsidR="000C4F02" w:rsidRDefault="00464D5F">
    <w:pPr>
      <w:jc w:val="center"/>
      <w:rPr>
        <w:b/>
        <w:bCs/>
        <w:color w:val="808080" w:themeColor="background1" w:themeShade="80"/>
        <w:sz w:val="16"/>
        <w:szCs w:val="16"/>
      </w:rPr>
    </w:pPr>
    <w:r>
      <w:rPr>
        <w:rFonts w:cs="Arial"/>
        <w:color w:val="808080"/>
        <w:sz w:val="16"/>
        <w:szCs w:val="16"/>
      </w:rPr>
      <w:t>www.tilencia.ai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97FDB" w14:textId="77777777" w:rsidR="000C4F02" w:rsidRDefault="00464D5F">
    <w:pPr>
      <w:pBdr>
        <w:top w:val="single" w:sz="12" w:space="1" w:color="808080" w:themeColor="background1" w:themeShade="80"/>
      </w:pBdr>
      <w:jc w:val="center"/>
      <w:rPr>
        <w:b/>
        <w:bCs/>
        <w:color w:val="808080" w:themeColor="background1" w:themeShade="80"/>
        <w:sz w:val="16"/>
        <w:szCs w:val="16"/>
      </w:rPr>
    </w:pPr>
    <w:r>
      <w:rPr>
        <w:rFonts w:cs="Arial"/>
        <w:b/>
        <w:bCs/>
        <w:color w:val="4B0A78"/>
        <w:sz w:val="16"/>
        <w:szCs w:val="16"/>
      </w:rPr>
      <w:t>TILENCIA</w:t>
    </w:r>
  </w:p>
  <w:p w14:paraId="1D3AB23A" w14:textId="77777777" w:rsidR="000C4F02" w:rsidRDefault="00464D5F">
    <w:pPr>
      <w:jc w:val="center"/>
      <w:rPr>
        <w:b/>
        <w:bCs/>
        <w:color w:val="808080" w:themeColor="background1" w:themeShade="80"/>
        <w:sz w:val="16"/>
        <w:szCs w:val="16"/>
      </w:rPr>
    </w:pPr>
    <w:r>
      <w:rPr>
        <w:rFonts w:cs="Arial"/>
        <w:color w:val="808080"/>
        <w:sz w:val="16"/>
        <w:szCs w:val="16"/>
      </w:rPr>
      <w:t>www.tilencia.ai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9A6D6" w14:textId="77777777" w:rsidR="00481319" w:rsidRDefault="00481319">
      <w:r>
        <w:separator/>
      </w:r>
    </w:p>
  </w:footnote>
  <w:footnote w:type="continuationSeparator" w:id="0">
    <w:p w14:paraId="56F4B476" w14:textId="77777777" w:rsidR="00481319" w:rsidRDefault="00481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E8C50" w14:textId="77777777" w:rsidR="000C4F02" w:rsidRDefault="00464D5F">
    <w:pPr>
      <w:pStyle w:val="En-tte"/>
      <w:spacing w:line="240" w:lineRule="auto"/>
      <w:ind w:left="-992"/>
      <w:rPr>
        <w:noProof/>
      </w:rPr>
    </w:pPr>
    <w:r>
      <w:rPr>
        <w:noProof/>
      </w:rPr>
      <w:drawing>
        <wp:anchor distT="0" distB="0" distL="114300" distR="114300" simplePos="0" relativeHeight="251658240" behindDoc="1" locked="0" layoutInCell="1" allowOverlap="1" wp14:anchorId="678F276D" wp14:editId="79E86719">
          <wp:simplePos x="0" y="0"/>
          <wp:positionH relativeFrom="margin">
            <wp:posOffset>-258051</wp:posOffset>
          </wp:positionH>
          <wp:positionV relativeFrom="paragraph">
            <wp:posOffset>-188171</wp:posOffset>
          </wp:positionV>
          <wp:extent cx="1828800" cy="1251477"/>
          <wp:effectExtent l="0" t="0" r="8890" b="9525"/>
          <wp:wrapNone/>
          <wp:docPr id="1004153139"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p>
  <w:p w14:paraId="37D9B4B3" w14:textId="77777777" w:rsidR="000C4F02" w:rsidRDefault="00464D5F">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5168" behindDoc="0" locked="0" layoutInCell="0" allowOverlap="1" wp14:anchorId="63C81680" wp14:editId="0E142669">
              <wp:simplePos x="0" y="0"/>
              <wp:positionH relativeFrom="column">
                <wp:posOffset>-640080</wp:posOffset>
              </wp:positionH>
              <wp:positionV relativeFrom="paragraph">
                <wp:posOffset>34289</wp:posOffset>
              </wp:positionV>
              <wp:extent cx="6753860" cy="0"/>
              <wp:effectExtent l="0" t="0" r="0" b="0"/>
              <wp:wrapNone/>
              <wp:docPr id="268"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35F6167D" w14:textId="77777777" w:rsidR="000C4F02" w:rsidRDefault="000C4F02">
    <w:pPr>
      <w:tabs>
        <w:tab w:val="right" w:pos="9639"/>
      </w:tabs>
      <w:ind w:left="-993" w:right="-1"/>
      <w:jc w:val="left"/>
      <w:outlineLvl w:val="0"/>
      <w:rPr>
        <w:b/>
        <w:bCs/>
        <w:noProof/>
        <w:color w:val="A6A6A6" w:themeColor="background1" w:themeShade="A6"/>
        <w:szCs w:val="18"/>
      </w:rPr>
    </w:pPr>
  </w:p>
  <w:p w14:paraId="3CC97C9F" w14:textId="77777777" w:rsidR="000C4F02" w:rsidRDefault="000C4F02">
    <w:pPr>
      <w:tabs>
        <w:tab w:val="right" w:pos="9639"/>
      </w:tabs>
      <w:ind w:left="-993" w:right="-1"/>
      <w:jc w:val="left"/>
      <w:outlineLvl w:val="0"/>
      <w:rPr>
        <w:b/>
        <w:bCs/>
        <w:noProof/>
        <w:color w:val="A6A6A6" w:themeColor="background1" w:themeShade="A6"/>
        <w:szCs w:val="18"/>
      </w:rPr>
    </w:pPr>
  </w:p>
  <w:p w14:paraId="18BEB6FB" w14:textId="77777777" w:rsidR="000C4F02" w:rsidRDefault="000C4F02">
    <w:pPr>
      <w:tabs>
        <w:tab w:val="right" w:pos="9639"/>
      </w:tabs>
      <w:ind w:left="-993" w:right="-1"/>
      <w:jc w:val="left"/>
      <w:outlineLvl w:val="0"/>
      <w:rPr>
        <w:b/>
        <w:bCs/>
        <w:noProof/>
        <w:color w:val="A6A6A6" w:themeColor="background1" w:themeShade="A6"/>
        <w:szCs w:val="18"/>
      </w:rPr>
    </w:pPr>
  </w:p>
  <w:p w14:paraId="677E7F24" w14:textId="77777777" w:rsidR="000C4F02" w:rsidRDefault="000C4F02">
    <w:pPr>
      <w:tabs>
        <w:tab w:val="right" w:pos="9639"/>
      </w:tabs>
      <w:ind w:left="-993" w:right="-1"/>
      <w:jc w:val="left"/>
      <w:outlineLvl w:val="0"/>
      <w:rPr>
        <w:b/>
        <w:bCs/>
        <w:noProof/>
        <w:color w:val="A6A6A6" w:themeColor="background1" w:themeShade="A6"/>
        <w:szCs w:val="18"/>
      </w:rPr>
    </w:pPr>
  </w:p>
  <w:p w14:paraId="7AE07E9D" w14:textId="77777777" w:rsidR="000C4F02" w:rsidRDefault="00464D5F">
    <w:pPr>
      <w:tabs>
        <w:tab w:val="right" w:pos="9639"/>
      </w:tabs>
      <w:ind w:left="-993" w:right="-1"/>
      <w:jc w:val="right"/>
      <w:outlineLvl w:val="0"/>
      <w:rPr>
        <w:b/>
        <w:bCs/>
        <w:noProof/>
        <w:color w:val="4B0A78"/>
        <w:sz w:val="24"/>
        <w:szCs w:val="24"/>
      </w:rPr>
    </w:pPr>
    <w:r>
      <w:rPr>
        <w:b/>
        <w:color w:val="A6A6A6"/>
      </w:rPr>
      <w:fldChar w:fldCharType="begin"/>
    </w:r>
    <w:r>
      <w:rPr>
        <w:b/>
        <w:color w:val="A6A6A6"/>
      </w:rPr>
      <w:instrText xml:space="preserve"> PAGE </w:instrText>
    </w:r>
    <w:r>
      <w:rPr>
        <w:b/>
        <w:color w:val="A6A6A6"/>
      </w:rPr>
      <w:fldChar w:fldCharType="end"/>
    </w:r>
    <w:r>
      <w:rPr>
        <w:b/>
        <w:color w:val="A6A6A6"/>
      </w:rPr>
      <w:t>/</w:t>
    </w:r>
    <w:r>
      <w:rPr>
        <w:b/>
        <w:color w:val="A6A6A6"/>
      </w:rPr>
      <w:fldChar w:fldCharType="begin"/>
    </w:r>
    <w:r>
      <w:rPr>
        <w:b/>
        <w:color w:val="A6A6A6"/>
      </w:rPr>
      <w:instrText xml:space="preserve"> NUMPAGES </w:instrText>
    </w:r>
    <w:r>
      <w:rPr>
        <w:b/>
        <w:color w:val="A6A6A6"/>
      </w:rPr>
      <w:fldChar w:fldCharType="end"/>
    </w:r>
    <w:r>
      <w:rPr>
        <w:b/>
        <w:color w:val="4B0A78"/>
        <w:sz w:val="24"/>
      </w:rPr>
      <w:tab/>
    </w:r>
  </w:p>
  <w:p w14:paraId="11663484" w14:textId="77777777" w:rsidR="000C4F02" w:rsidRDefault="00464D5F">
    <w:pPr>
      <w:tabs>
        <w:tab w:val="right" w:pos="9639"/>
      </w:tabs>
      <w:ind w:left="-993" w:right="-1"/>
      <w:jc w:val="right"/>
      <w:outlineLvl w:val="0"/>
      <w:rPr>
        <w:b/>
        <w:bCs/>
        <w:noProof/>
        <w:color w:val="4B0A78"/>
        <w:sz w:val="24"/>
        <w:szCs w:val="24"/>
      </w:rPr>
    </w:pPr>
    <w:r>
      <w:rPr>
        <w:b/>
        <w:bCs/>
        <w:noProof/>
        <w:color w:val="4B0A78"/>
        <w:sz w:val="24"/>
        <w:szCs w:val="24"/>
      </w:rPr>
      <w:t>ELA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9AB9" w14:textId="77777777" w:rsidR="000C4F02" w:rsidRDefault="00464D5F">
    <w:pPr>
      <w:pStyle w:val="En-tte"/>
      <w:spacing w:line="240" w:lineRule="auto"/>
      <w:ind w:left="-992"/>
      <w:rPr>
        <w:noProof/>
      </w:rPr>
    </w:pPr>
    <w:r>
      <w:rPr>
        <w:noProof/>
      </w:rPr>
      <w:drawing>
        <wp:anchor distT="0" distB="0" distL="114300" distR="114300" simplePos="0" relativeHeight="251659264" behindDoc="1" locked="0" layoutInCell="1" allowOverlap="1" wp14:anchorId="361251ED" wp14:editId="77DDCB62">
          <wp:simplePos x="0" y="0"/>
          <wp:positionH relativeFrom="margin">
            <wp:align>center</wp:align>
          </wp:positionH>
          <wp:positionV relativeFrom="paragraph">
            <wp:posOffset>-290830</wp:posOffset>
          </wp:positionV>
          <wp:extent cx="1802130" cy="1295826"/>
          <wp:effectExtent l="0" t="0" r="7620" b="0"/>
          <wp:wrapNone/>
          <wp:docPr id="269"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2130" cy="1295826"/>
                  </a:xfrm>
                  <a:prstGeom prst="rect">
                    <a:avLst/>
                  </a:prstGeom>
                  <a:noFill/>
                </pic:spPr>
              </pic:pic>
            </a:graphicData>
          </a:graphic>
          <wp14:sizeRelH relativeFrom="page">
            <wp14:pctWidth>0</wp14:pctWidth>
          </wp14:sizeRelH>
          <wp14:sizeRelV relativeFrom="page">
            <wp14:pctHeight>0</wp14:pctHeight>
          </wp14:sizeRelV>
        </wp:anchor>
      </w:drawing>
    </w:r>
  </w:p>
  <w:p w14:paraId="4CB26CC5" w14:textId="77777777" w:rsidR="000C4F02" w:rsidRDefault="00464D5F">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6192" behindDoc="0" locked="0" layoutInCell="0" allowOverlap="1" wp14:anchorId="12D06A16" wp14:editId="60828EA7">
              <wp:simplePos x="0" y="0"/>
              <wp:positionH relativeFrom="column">
                <wp:posOffset>-640080</wp:posOffset>
              </wp:positionH>
              <wp:positionV relativeFrom="paragraph">
                <wp:posOffset>34289</wp:posOffset>
              </wp:positionV>
              <wp:extent cx="6753860" cy="0"/>
              <wp:effectExtent l="0" t="0" r="0" b="0"/>
              <wp:wrapNone/>
              <wp:docPr id="270"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740398EE" w14:textId="77777777" w:rsidR="000C4F02" w:rsidRDefault="000C4F02">
    <w:pPr>
      <w:tabs>
        <w:tab w:val="right" w:pos="9639"/>
      </w:tabs>
      <w:ind w:left="-993" w:right="-1"/>
      <w:jc w:val="left"/>
      <w:outlineLvl w:val="0"/>
      <w:rPr>
        <w:b/>
        <w:bCs/>
        <w:noProof/>
        <w:color w:val="A6A6A6" w:themeColor="background1" w:themeShade="A6"/>
        <w:szCs w:val="18"/>
      </w:rPr>
    </w:pPr>
  </w:p>
  <w:p w14:paraId="490EDAB8" w14:textId="77777777" w:rsidR="000C4F02" w:rsidRDefault="000C4F02">
    <w:pPr>
      <w:tabs>
        <w:tab w:val="right" w:pos="9639"/>
      </w:tabs>
      <w:ind w:left="-993" w:right="-1"/>
      <w:jc w:val="left"/>
      <w:outlineLvl w:val="0"/>
      <w:rPr>
        <w:b/>
        <w:bCs/>
        <w:noProof/>
        <w:color w:val="A6A6A6" w:themeColor="background1" w:themeShade="A6"/>
        <w:szCs w:val="18"/>
      </w:rPr>
    </w:pPr>
  </w:p>
  <w:p w14:paraId="59E9B336" w14:textId="77777777" w:rsidR="000C4F02" w:rsidRDefault="000C4F02">
    <w:pPr>
      <w:tabs>
        <w:tab w:val="right" w:pos="9639"/>
      </w:tabs>
      <w:ind w:left="-993" w:right="-1"/>
      <w:jc w:val="center"/>
      <w:outlineLvl w:val="0"/>
      <w:rPr>
        <w:b/>
        <w:bCs/>
        <w:noProof/>
        <w:color w:val="A6A6A6" w:themeColor="background1" w:themeShade="A6"/>
        <w:szCs w:val="18"/>
      </w:rPr>
    </w:pPr>
  </w:p>
  <w:p w14:paraId="758D0DCF" w14:textId="77777777" w:rsidR="000C4F02" w:rsidRDefault="000C4F02">
    <w:pPr>
      <w:tabs>
        <w:tab w:val="right" w:pos="9639"/>
      </w:tabs>
      <w:ind w:left="-993" w:right="-1"/>
      <w:jc w:val="left"/>
      <w:outlineLvl w:val="0"/>
      <w:rPr>
        <w:b/>
        <w:bCs/>
        <w:noProof/>
        <w:color w:val="A6A6A6" w:themeColor="background1" w:themeShade="A6"/>
        <w:szCs w:val="18"/>
      </w:rPr>
    </w:pPr>
  </w:p>
  <w:p w14:paraId="3F57AD51" w14:textId="77777777" w:rsidR="000C4F02" w:rsidRDefault="00464D5F">
    <w:pPr>
      <w:tabs>
        <w:tab w:val="right" w:pos="9639"/>
      </w:tabs>
      <w:ind w:left="-993" w:right="-1"/>
      <w:jc w:val="right"/>
      <w:outlineLvl w:val="0"/>
      <w:rPr>
        <w:b/>
        <w:bCs/>
        <w:noProof/>
        <w:color w:val="4B0A78"/>
        <w:sz w:val="24"/>
        <w:szCs w:val="24"/>
      </w:rPr>
    </w:pPr>
    <w:r>
      <w:rPr>
        <w:b/>
        <w:color w:val="A6A6A6"/>
      </w:rPr>
      <w:fldChar w:fldCharType="begin"/>
    </w:r>
    <w:r>
      <w:rPr>
        <w:b/>
        <w:color w:val="A6A6A6"/>
      </w:rPr>
      <w:instrText xml:space="preserve"> PAGE </w:instrText>
    </w:r>
    <w:r>
      <w:rPr>
        <w:b/>
        <w:color w:val="A6A6A6"/>
      </w:rPr>
      <w:fldChar w:fldCharType="separate"/>
    </w:r>
    <w:r w:rsidR="00975AFF">
      <w:rPr>
        <w:b/>
        <w:noProof/>
        <w:color w:val="A6A6A6"/>
      </w:rPr>
      <w:t>1</w:t>
    </w:r>
    <w:r>
      <w:rPr>
        <w:b/>
        <w:color w:val="A6A6A6"/>
      </w:rPr>
      <w:fldChar w:fldCharType="end"/>
    </w:r>
    <w:r>
      <w:rPr>
        <w:b/>
        <w:color w:val="A6A6A6"/>
      </w:rPr>
      <w:t>/</w:t>
    </w:r>
    <w:r>
      <w:rPr>
        <w:b/>
        <w:color w:val="A6A6A6"/>
      </w:rPr>
      <w:fldChar w:fldCharType="begin"/>
    </w:r>
    <w:r>
      <w:rPr>
        <w:b/>
        <w:color w:val="A6A6A6"/>
      </w:rPr>
      <w:instrText xml:space="preserve"> NUMPAGES </w:instrText>
    </w:r>
    <w:r>
      <w:rPr>
        <w:b/>
        <w:color w:val="A6A6A6"/>
      </w:rPr>
      <w:fldChar w:fldCharType="separate"/>
    </w:r>
    <w:r w:rsidR="00975AFF">
      <w:rPr>
        <w:b/>
        <w:noProof/>
        <w:color w:val="A6A6A6"/>
      </w:rPr>
      <w:t>2</w:t>
    </w:r>
    <w:r>
      <w:rPr>
        <w:b/>
        <w:color w:val="A6A6A6"/>
      </w:rPr>
      <w:fldChar w:fldCharType="end"/>
    </w:r>
    <w:r>
      <w:rPr>
        <w:b/>
        <w:color w:val="4B0A78"/>
        <w:sz w:val="24"/>
      </w:rPr>
      <w:tab/>
    </w:r>
  </w:p>
  <w:p w14:paraId="21A0E4A7" w14:textId="77777777" w:rsidR="000C4F02" w:rsidRDefault="00464D5F">
    <w:pPr>
      <w:tabs>
        <w:tab w:val="right" w:pos="9639"/>
      </w:tabs>
      <w:ind w:left="-993" w:right="-1"/>
      <w:jc w:val="right"/>
      <w:outlineLvl w:val="0"/>
      <w:rPr>
        <w:b/>
        <w:bCs/>
        <w:noProof/>
        <w:color w:val="4B0A78"/>
        <w:sz w:val="24"/>
        <w:szCs w:val="24"/>
      </w:rPr>
    </w:pPr>
    <w:r>
      <w:rPr>
        <w:b/>
        <w:bCs/>
        <w:noProof/>
        <w:color w:val="4B0A78"/>
        <w:sz w:val="24"/>
        <w:szCs w:val="24"/>
      </w:rPr>
      <w:t>ELA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3E5F" w14:textId="77777777" w:rsidR="000C4F02" w:rsidRDefault="00464D5F">
    <w:pPr>
      <w:pStyle w:val="En-tte"/>
      <w:spacing w:line="240" w:lineRule="auto"/>
      <w:ind w:left="-992"/>
      <w:rPr>
        <w:noProof/>
      </w:rPr>
    </w:pPr>
    <w:r>
      <w:rPr>
        <w:noProof/>
      </w:rPr>
      <w:drawing>
        <wp:anchor distT="0" distB="0" distL="114300" distR="114300" simplePos="0" relativeHeight="251660288" behindDoc="1" locked="0" layoutInCell="1" allowOverlap="1" wp14:anchorId="0BA79382" wp14:editId="36D298DA">
          <wp:simplePos x="0" y="0"/>
          <wp:positionH relativeFrom="margin">
            <wp:posOffset>-258051</wp:posOffset>
          </wp:positionH>
          <wp:positionV relativeFrom="paragraph">
            <wp:posOffset>-188171</wp:posOffset>
          </wp:positionV>
          <wp:extent cx="1828800" cy="1251477"/>
          <wp:effectExtent l="0" t="0" r="8890" b="9525"/>
          <wp:wrapNone/>
          <wp:docPr id="3" name="Logo Tilencia" descr="Logo Ti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ilencia" descr="Logo Tilenci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1251477"/>
                  </a:xfrm>
                  <a:prstGeom prst="rect">
                    <a:avLst/>
                  </a:prstGeom>
                  <a:noFill/>
                </pic:spPr>
              </pic:pic>
            </a:graphicData>
          </a:graphic>
          <wp14:sizeRelH relativeFrom="page">
            <wp14:pctWidth>0</wp14:pctWidth>
          </wp14:sizeRelH>
          <wp14:sizeRelV relativeFrom="page">
            <wp14:pctHeight>0</wp14:pctHeight>
          </wp14:sizeRelV>
        </wp:anchor>
      </w:drawing>
    </w:r>
    <w:bookmarkStart w:id="0" w:name="_Hlk90578557"/>
    <w:bookmarkStart w:id="1" w:name="_Hlk90578433"/>
    <w:bookmarkEnd w:id="0"/>
    <w:bookmarkEnd w:id="1"/>
  </w:p>
  <w:p w14:paraId="09A4AF29" w14:textId="77777777" w:rsidR="000C4F02" w:rsidRDefault="00464D5F">
    <w:pPr>
      <w:pStyle w:val="En-tte"/>
      <w:spacing w:line="240" w:lineRule="auto"/>
      <w:ind w:left="-992"/>
      <w:rPr>
        <w:sz w:val="8"/>
        <w:szCs w:val="8"/>
      </w:rPr>
    </w:pPr>
    <w:r>
      <w:rPr>
        <w:b/>
        <w:bCs/>
        <w:noProof/>
        <w:color w:val="808080"/>
        <w:sz w:val="22"/>
        <w:szCs w:val="22"/>
      </w:rPr>
      <mc:AlternateContent>
        <mc:Choice Requires="wps">
          <w:drawing>
            <wp:anchor distT="4294967294" distB="4294967294" distL="114300" distR="114300" simplePos="0" relativeHeight="251657216" behindDoc="0" locked="0" layoutInCell="0" allowOverlap="1" wp14:anchorId="483EA6A1" wp14:editId="268B5A9D">
              <wp:simplePos x="0" y="0"/>
              <wp:positionH relativeFrom="column">
                <wp:posOffset>-640080</wp:posOffset>
              </wp:positionH>
              <wp:positionV relativeFrom="paragraph">
                <wp:posOffset>34289</wp:posOffset>
              </wp:positionV>
              <wp:extent cx="6753860" cy="0"/>
              <wp:effectExtent l="0" t="0" r="0" b="0"/>
              <wp:wrapNone/>
              <wp:docPr id="271" name="Line 13" descr="Élément graphique décoratif Tilencia"/>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53860" cy="0"/>
                      </a:xfrm>
                      <a:prstGeom prst="line">
                        <a:avLst/>
                      </a:prstGeom>
                      <a:noFill/>
                      <a:ln w="9525">
                        <a:no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8CC5C9B" id="Line 13"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0.4pt,2.7pt" to="481.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" o:allowincell="f" stroked="f"/>
          </w:pict>
        </mc:Fallback>
      </mc:AlternateContent>
    </w:r>
  </w:p>
  <w:p w14:paraId="0DE079E9" w14:textId="77777777" w:rsidR="000C4F02" w:rsidRDefault="000C4F02">
    <w:pPr>
      <w:tabs>
        <w:tab w:val="right" w:pos="9639"/>
      </w:tabs>
      <w:ind w:left="-993" w:right="-1"/>
      <w:jc w:val="left"/>
      <w:outlineLvl w:val="0"/>
      <w:rPr>
        <w:b/>
        <w:bCs/>
        <w:noProof/>
        <w:color w:val="A6A6A6" w:themeColor="background1" w:themeShade="A6"/>
        <w:szCs w:val="18"/>
      </w:rPr>
    </w:pPr>
  </w:p>
  <w:p w14:paraId="77B19417" w14:textId="77777777" w:rsidR="000C4F02" w:rsidRDefault="000C4F02">
    <w:pPr>
      <w:tabs>
        <w:tab w:val="right" w:pos="9639"/>
      </w:tabs>
      <w:ind w:left="-993" w:right="-1"/>
      <w:jc w:val="left"/>
      <w:outlineLvl w:val="0"/>
      <w:rPr>
        <w:b/>
        <w:bCs/>
        <w:noProof/>
        <w:color w:val="A6A6A6" w:themeColor="background1" w:themeShade="A6"/>
        <w:szCs w:val="18"/>
      </w:rPr>
    </w:pPr>
  </w:p>
  <w:p w14:paraId="728B3C40" w14:textId="77777777" w:rsidR="000C4F02" w:rsidRDefault="000C4F02">
    <w:pPr>
      <w:tabs>
        <w:tab w:val="right" w:pos="9639"/>
      </w:tabs>
      <w:ind w:left="-993" w:right="-1"/>
      <w:jc w:val="left"/>
      <w:outlineLvl w:val="0"/>
      <w:rPr>
        <w:b/>
        <w:bCs/>
        <w:noProof/>
        <w:color w:val="A6A6A6" w:themeColor="background1" w:themeShade="A6"/>
        <w:szCs w:val="18"/>
      </w:rPr>
    </w:pPr>
  </w:p>
  <w:p w14:paraId="629353DE" w14:textId="77777777" w:rsidR="000C4F02" w:rsidRDefault="000C4F02">
    <w:pPr>
      <w:tabs>
        <w:tab w:val="right" w:pos="9639"/>
      </w:tabs>
      <w:ind w:left="-993" w:right="-1"/>
      <w:jc w:val="left"/>
      <w:outlineLvl w:val="0"/>
      <w:rPr>
        <w:b/>
        <w:bCs/>
        <w:noProof/>
        <w:color w:val="A6A6A6" w:themeColor="background1" w:themeShade="A6"/>
        <w:szCs w:val="18"/>
      </w:rPr>
    </w:pPr>
  </w:p>
  <w:p w14:paraId="490545C9" w14:textId="77777777" w:rsidR="000C4F02" w:rsidRDefault="00464D5F">
    <w:pPr>
      <w:tabs>
        <w:tab w:val="right" w:pos="9639"/>
      </w:tabs>
      <w:ind w:left="-993" w:right="-1"/>
      <w:jc w:val="right"/>
      <w:outlineLvl w:val="0"/>
      <w:rPr>
        <w:b/>
        <w:bCs/>
        <w:noProof/>
        <w:color w:val="4B0A78"/>
        <w:sz w:val="24"/>
        <w:szCs w:val="24"/>
      </w:rPr>
    </w:pPr>
    <w:r>
      <w:rPr>
        <w:b/>
        <w:color w:val="A6A6A6"/>
      </w:rPr>
      <w:fldChar w:fldCharType="begin"/>
    </w:r>
    <w:r>
      <w:rPr>
        <w:b/>
        <w:color w:val="A6A6A6"/>
      </w:rPr>
      <w:instrText xml:space="preserve"> PAGE </w:instrText>
    </w:r>
    <w:r>
      <w:rPr>
        <w:b/>
        <w:color w:val="A6A6A6"/>
      </w:rPr>
      <w:fldChar w:fldCharType="end"/>
    </w:r>
    <w:r>
      <w:rPr>
        <w:b/>
        <w:color w:val="A6A6A6"/>
      </w:rPr>
      <w:t>/</w:t>
    </w:r>
    <w:r>
      <w:rPr>
        <w:b/>
        <w:color w:val="A6A6A6"/>
      </w:rPr>
      <w:fldChar w:fldCharType="begin"/>
    </w:r>
    <w:r>
      <w:rPr>
        <w:b/>
        <w:color w:val="A6A6A6"/>
      </w:rPr>
      <w:instrText xml:space="preserve"> NUMPAGES </w:instrText>
    </w:r>
    <w:r>
      <w:rPr>
        <w:b/>
        <w:color w:val="A6A6A6"/>
      </w:rPr>
      <w:fldChar w:fldCharType="end"/>
    </w:r>
    <w:r>
      <w:rPr>
        <w:b/>
        <w:color w:val="4B0A78"/>
        <w:sz w:val="24"/>
      </w:rPr>
      <w:tab/>
    </w:r>
  </w:p>
  <w:p w14:paraId="6A531D90" w14:textId="77777777" w:rsidR="000C4F02" w:rsidRDefault="00464D5F">
    <w:pPr>
      <w:tabs>
        <w:tab w:val="right" w:pos="9639"/>
      </w:tabs>
      <w:ind w:left="-993" w:right="-1"/>
      <w:jc w:val="right"/>
      <w:outlineLvl w:val="0"/>
      <w:rPr>
        <w:b/>
        <w:bCs/>
        <w:noProof/>
        <w:color w:val="4B0A78"/>
        <w:sz w:val="24"/>
        <w:szCs w:val="24"/>
      </w:rPr>
    </w:pPr>
    <w:r>
      <w:rPr>
        <w:b/>
        <w:bCs/>
        <w:noProof/>
        <w:color w:val="4B0A78"/>
        <w:sz w:val="24"/>
        <w:szCs w:val="24"/>
      </w:rPr>
      <w:t>ELA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A4D0A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360"/>
        </w:tabs>
      </w:pPr>
      <w:rPr>
        <w:rFonts w:ascii="Wingdings" w:hAnsi="Wingdings"/>
      </w:rPr>
    </w:lvl>
  </w:abstractNum>
  <w:abstractNum w:abstractNumId="2" w15:restartNumberingAfterBreak="0">
    <w:nsid w:val="00000003"/>
    <w:multiLevelType w:val="singleLevel"/>
    <w:tmpl w:val="00000003"/>
    <w:name w:val="WW8Num5"/>
    <w:lvl w:ilvl="0">
      <w:start w:val="21"/>
      <w:numFmt w:val="bullet"/>
      <w:lvlText w:val="-"/>
      <w:lvlJc w:val="left"/>
      <w:pPr>
        <w:tabs>
          <w:tab w:val="num" w:pos="720"/>
        </w:tabs>
        <w:ind w:left="720" w:hanging="360"/>
      </w:pPr>
      <w:rPr>
        <w:rFonts w:ascii="Century Gothic" w:hAnsi="Century Gothic" w:cs="Times New Roman"/>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Courier New"/>
      </w:rPr>
    </w:lvl>
  </w:abstractNum>
  <w:abstractNum w:abstractNumId="4" w15:restartNumberingAfterBreak="0">
    <w:nsid w:val="048B7971"/>
    <w:multiLevelType w:val="hybridMultilevel"/>
    <w:tmpl w:val="48C2BE6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8D7964"/>
    <w:multiLevelType w:val="hybridMultilevel"/>
    <w:tmpl w:val="7548E1FE"/>
    <w:lvl w:ilvl="0" w:tplc="554CAA58">
      <w:start w:val="1"/>
      <w:numFmt w:val="bullet"/>
      <w:pStyle w:val="CVEnumration1"/>
      <w:lvlText w:val=""/>
      <w:lvlJc w:val="left"/>
      <w:pPr>
        <w:tabs>
          <w:tab w:val="num" w:pos="963"/>
        </w:tabs>
        <w:ind w:left="963" w:hanging="396"/>
      </w:pPr>
      <w:rPr>
        <w:rFonts w:ascii="Wingdings" w:hAnsi="Wingdings" w:hint="default"/>
        <w:sz w:val="22"/>
      </w:rPr>
    </w:lvl>
    <w:lvl w:ilvl="1" w:tplc="040C0003" w:tentative="1">
      <w:start w:val="1"/>
      <w:numFmt w:val="bullet"/>
      <w:lvlText w:val="o"/>
      <w:lvlJc w:val="left"/>
      <w:pPr>
        <w:tabs>
          <w:tab w:val="num" w:pos="2367"/>
        </w:tabs>
        <w:ind w:left="2367" w:hanging="360"/>
      </w:pPr>
      <w:rPr>
        <w:rFonts w:ascii="Courier New" w:hAnsi="Courier New" w:hint="default"/>
      </w:rPr>
    </w:lvl>
    <w:lvl w:ilvl="2" w:tplc="040C0005" w:tentative="1">
      <w:start w:val="1"/>
      <w:numFmt w:val="bullet"/>
      <w:lvlText w:val=""/>
      <w:lvlJc w:val="left"/>
      <w:pPr>
        <w:tabs>
          <w:tab w:val="num" w:pos="3087"/>
        </w:tabs>
        <w:ind w:left="3087" w:hanging="360"/>
      </w:pPr>
      <w:rPr>
        <w:rFonts w:ascii="Wingdings" w:hAnsi="Wingdings" w:hint="default"/>
      </w:rPr>
    </w:lvl>
    <w:lvl w:ilvl="3" w:tplc="040C0001" w:tentative="1">
      <w:start w:val="1"/>
      <w:numFmt w:val="bullet"/>
      <w:lvlText w:val=""/>
      <w:lvlJc w:val="left"/>
      <w:pPr>
        <w:tabs>
          <w:tab w:val="num" w:pos="3807"/>
        </w:tabs>
        <w:ind w:left="3807" w:hanging="360"/>
      </w:pPr>
      <w:rPr>
        <w:rFonts w:ascii="Symbol" w:hAnsi="Symbol" w:hint="default"/>
      </w:rPr>
    </w:lvl>
    <w:lvl w:ilvl="4" w:tplc="040C0003" w:tentative="1">
      <w:start w:val="1"/>
      <w:numFmt w:val="bullet"/>
      <w:lvlText w:val="o"/>
      <w:lvlJc w:val="left"/>
      <w:pPr>
        <w:tabs>
          <w:tab w:val="num" w:pos="4527"/>
        </w:tabs>
        <w:ind w:left="4527" w:hanging="360"/>
      </w:pPr>
      <w:rPr>
        <w:rFonts w:ascii="Courier New" w:hAnsi="Courier New" w:hint="default"/>
      </w:rPr>
    </w:lvl>
    <w:lvl w:ilvl="5" w:tplc="040C0005" w:tentative="1">
      <w:start w:val="1"/>
      <w:numFmt w:val="bullet"/>
      <w:lvlText w:val=""/>
      <w:lvlJc w:val="left"/>
      <w:pPr>
        <w:tabs>
          <w:tab w:val="num" w:pos="5247"/>
        </w:tabs>
        <w:ind w:left="5247" w:hanging="360"/>
      </w:pPr>
      <w:rPr>
        <w:rFonts w:ascii="Wingdings" w:hAnsi="Wingdings" w:hint="default"/>
      </w:rPr>
    </w:lvl>
    <w:lvl w:ilvl="6" w:tplc="040C0001" w:tentative="1">
      <w:start w:val="1"/>
      <w:numFmt w:val="bullet"/>
      <w:lvlText w:val=""/>
      <w:lvlJc w:val="left"/>
      <w:pPr>
        <w:tabs>
          <w:tab w:val="num" w:pos="5967"/>
        </w:tabs>
        <w:ind w:left="5967" w:hanging="360"/>
      </w:pPr>
      <w:rPr>
        <w:rFonts w:ascii="Symbol" w:hAnsi="Symbol" w:hint="default"/>
      </w:rPr>
    </w:lvl>
    <w:lvl w:ilvl="7" w:tplc="040C0003" w:tentative="1">
      <w:start w:val="1"/>
      <w:numFmt w:val="bullet"/>
      <w:lvlText w:val="o"/>
      <w:lvlJc w:val="left"/>
      <w:pPr>
        <w:tabs>
          <w:tab w:val="num" w:pos="6687"/>
        </w:tabs>
        <w:ind w:left="6687" w:hanging="360"/>
      </w:pPr>
      <w:rPr>
        <w:rFonts w:ascii="Courier New" w:hAnsi="Courier New" w:hint="default"/>
      </w:rPr>
    </w:lvl>
    <w:lvl w:ilvl="8" w:tplc="040C0005" w:tentative="1">
      <w:start w:val="1"/>
      <w:numFmt w:val="bullet"/>
      <w:lvlText w:val=""/>
      <w:lvlJc w:val="left"/>
      <w:pPr>
        <w:tabs>
          <w:tab w:val="num" w:pos="7407"/>
        </w:tabs>
        <w:ind w:left="7407" w:hanging="360"/>
      </w:pPr>
      <w:rPr>
        <w:rFonts w:ascii="Wingdings" w:hAnsi="Wingdings" w:hint="default"/>
      </w:rPr>
    </w:lvl>
  </w:abstractNum>
  <w:abstractNum w:abstractNumId="6" w15:restartNumberingAfterBreak="0">
    <w:nsid w:val="13DE725E"/>
    <w:multiLevelType w:val="hybridMultilevel"/>
    <w:tmpl w:val="040ECD8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7" w15:restartNumberingAfterBreak="0">
    <w:nsid w:val="23110B9E"/>
    <w:multiLevelType w:val="hybridMultilevel"/>
    <w:tmpl w:val="140EE42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6606C3"/>
    <w:multiLevelType w:val="singleLevel"/>
    <w:tmpl w:val="13ECA26E"/>
    <w:lvl w:ilvl="0">
      <w:start w:val="1"/>
      <w:numFmt w:val="bullet"/>
      <w:pStyle w:val="Aliste"/>
      <w:lvlText w:val="–"/>
      <w:lvlJc w:val="left"/>
      <w:pPr>
        <w:tabs>
          <w:tab w:val="num" w:pos="360"/>
        </w:tabs>
        <w:ind w:left="360" w:hanging="360"/>
      </w:pPr>
      <w:rPr>
        <w:rFonts w:ascii="Times New Roman" w:hAnsi="Times New Roman" w:hint="default"/>
      </w:rPr>
    </w:lvl>
  </w:abstractNum>
  <w:abstractNum w:abstractNumId="9" w15:restartNumberingAfterBreak="0">
    <w:nsid w:val="5737110D"/>
    <w:multiLevelType w:val="hybridMultilevel"/>
    <w:tmpl w:val="9DBA8B34"/>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abstractNum w:abstractNumId="10" w15:restartNumberingAfterBreak="0">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11" w15:restartNumberingAfterBreak="0">
    <w:nsid w:val="68A71903"/>
    <w:multiLevelType w:val="multilevel"/>
    <w:tmpl w:val="E8387330"/>
    <w:lvl w:ilvl="0">
      <w:start w:val="1"/>
      <w:numFmt w:val="bullet"/>
      <w:pStyle w:val="NormalArial"/>
      <w:lvlText w:val=""/>
      <w:lvlJc w:val="left"/>
      <w:pPr>
        <w:tabs>
          <w:tab w:val="num" w:pos="1353"/>
        </w:tabs>
        <w:ind w:left="1353" w:hanging="360"/>
      </w:pPr>
      <w:rPr>
        <w:rFonts w:ascii="Wingdings" w:hAnsi="Wingdings" w:hint="default"/>
      </w:rPr>
    </w:lvl>
    <w:lvl w:ilvl="1" w:tentative="1">
      <w:start w:val="1"/>
      <w:numFmt w:val="bullet"/>
      <w:lvlText w:val="o"/>
      <w:lvlJc w:val="left"/>
      <w:pPr>
        <w:tabs>
          <w:tab w:val="num" w:pos="2356"/>
        </w:tabs>
        <w:ind w:left="2356" w:hanging="360"/>
      </w:pPr>
      <w:rPr>
        <w:rFonts w:ascii="Courier New" w:hAnsi="Courier New" w:cs="Wingdings" w:hint="default"/>
      </w:rPr>
    </w:lvl>
    <w:lvl w:ilvl="2" w:tentative="1">
      <w:start w:val="1"/>
      <w:numFmt w:val="bullet"/>
      <w:lvlText w:val=""/>
      <w:lvlJc w:val="left"/>
      <w:pPr>
        <w:tabs>
          <w:tab w:val="num" w:pos="3076"/>
        </w:tabs>
        <w:ind w:left="3076" w:hanging="360"/>
      </w:pPr>
      <w:rPr>
        <w:rFonts w:ascii="Wingdings" w:hAnsi="Wingdings" w:hint="default"/>
      </w:rPr>
    </w:lvl>
    <w:lvl w:ilvl="3" w:tentative="1">
      <w:start w:val="1"/>
      <w:numFmt w:val="bullet"/>
      <w:lvlText w:val=""/>
      <w:lvlJc w:val="left"/>
      <w:pPr>
        <w:tabs>
          <w:tab w:val="num" w:pos="3796"/>
        </w:tabs>
        <w:ind w:left="3796" w:hanging="360"/>
      </w:pPr>
      <w:rPr>
        <w:rFonts w:ascii="Symbol" w:hAnsi="Symbol" w:hint="default"/>
      </w:rPr>
    </w:lvl>
    <w:lvl w:ilvl="4" w:tentative="1">
      <w:start w:val="1"/>
      <w:numFmt w:val="bullet"/>
      <w:lvlText w:val="o"/>
      <w:lvlJc w:val="left"/>
      <w:pPr>
        <w:tabs>
          <w:tab w:val="num" w:pos="4516"/>
        </w:tabs>
        <w:ind w:left="4516" w:hanging="360"/>
      </w:pPr>
      <w:rPr>
        <w:rFonts w:ascii="Courier New" w:hAnsi="Courier New" w:cs="Wingdings" w:hint="default"/>
      </w:rPr>
    </w:lvl>
    <w:lvl w:ilvl="5" w:tentative="1">
      <w:start w:val="1"/>
      <w:numFmt w:val="bullet"/>
      <w:lvlText w:val=""/>
      <w:lvlJc w:val="left"/>
      <w:pPr>
        <w:tabs>
          <w:tab w:val="num" w:pos="5236"/>
        </w:tabs>
        <w:ind w:left="5236" w:hanging="360"/>
      </w:pPr>
      <w:rPr>
        <w:rFonts w:ascii="Wingdings" w:hAnsi="Wingdings" w:hint="default"/>
      </w:rPr>
    </w:lvl>
    <w:lvl w:ilvl="6" w:tentative="1">
      <w:start w:val="1"/>
      <w:numFmt w:val="bullet"/>
      <w:lvlText w:val=""/>
      <w:lvlJc w:val="left"/>
      <w:pPr>
        <w:tabs>
          <w:tab w:val="num" w:pos="5956"/>
        </w:tabs>
        <w:ind w:left="5956" w:hanging="360"/>
      </w:pPr>
      <w:rPr>
        <w:rFonts w:ascii="Symbol" w:hAnsi="Symbol" w:hint="default"/>
      </w:rPr>
    </w:lvl>
    <w:lvl w:ilvl="7" w:tentative="1">
      <w:start w:val="1"/>
      <w:numFmt w:val="bullet"/>
      <w:lvlText w:val="o"/>
      <w:lvlJc w:val="left"/>
      <w:pPr>
        <w:tabs>
          <w:tab w:val="num" w:pos="6676"/>
        </w:tabs>
        <w:ind w:left="6676" w:hanging="360"/>
      </w:pPr>
      <w:rPr>
        <w:rFonts w:ascii="Courier New" w:hAnsi="Courier New" w:cs="Wingdings" w:hint="default"/>
      </w:rPr>
    </w:lvl>
    <w:lvl w:ilvl="8" w:tentative="1">
      <w:start w:val="1"/>
      <w:numFmt w:val="bullet"/>
      <w:lvlText w:val=""/>
      <w:lvlJc w:val="left"/>
      <w:pPr>
        <w:tabs>
          <w:tab w:val="num" w:pos="7396"/>
        </w:tabs>
        <w:ind w:left="7396" w:hanging="360"/>
      </w:pPr>
      <w:rPr>
        <w:rFonts w:ascii="Wingdings" w:hAnsi="Wingdings" w:hint="default"/>
      </w:rPr>
    </w:lvl>
  </w:abstractNum>
  <w:num w:numId="1" w16cid:durableId="65538095">
    <w:abstractNumId w:val="10"/>
  </w:num>
  <w:num w:numId="2" w16cid:durableId="532767004">
    <w:abstractNumId w:val="8"/>
  </w:num>
  <w:num w:numId="3" w16cid:durableId="1397358681">
    <w:abstractNumId w:val="11"/>
  </w:num>
  <w:num w:numId="4" w16cid:durableId="1567106404">
    <w:abstractNumId w:val="5"/>
  </w:num>
  <w:num w:numId="5" w16cid:durableId="402875143">
    <w:abstractNumId w:val="0"/>
  </w:num>
  <w:num w:numId="6" w16cid:durableId="45758716">
    <w:abstractNumId w:val="4"/>
  </w:num>
  <w:num w:numId="7" w16cid:durableId="1502887122">
    <w:abstractNumId w:val="7"/>
  </w:num>
  <w:num w:numId="8" w16cid:durableId="86075722">
    <w:abstractNumId w:val="6"/>
  </w:num>
  <w:num w:numId="9" w16cid:durableId="1762483766">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0"/>
  <w:activeWritingStyle w:appName="MSWord" w:lang="fr-FR" w:vendorID="2" w:dllVersion="512" w:checkStyle="1"/>
  <w:activeWritingStyle w:appName="MSWord" w:lang="fr-FR" w:vendorID="9" w:dllVersion="512" w:checkStyle="1"/>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allowincell="f" fillcolor="#ca1634" strokecolor="#ca1634">
      <v:fill color="#ca1634"/>
      <v:stroke color="#ca1634"/>
      <o:colormru v:ext="edit" colors="#ea3452,#e71b3d,#ca163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2BA"/>
    <w:rsid w:val="00001A02"/>
    <w:rsid w:val="0001046F"/>
    <w:rsid w:val="00017280"/>
    <w:rsid w:val="000177BC"/>
    <w:rsid w:val="00022894"/>
    <w:rsid w:val="00022F05"/>
    <w:rsid w:val="00026F14"/>
    <w:rsid w:val="00030CBE"/>
    <w:rsid w:val="00032151"/>
    <w:rsid w:val="00032DA0"/>
    <w:rsid w:val="00035199"/>
    <w:rsid w:val="00040236"/>
    <w:rsid w:val="0004261E"/>
    <w:rsid w:val="00043879"/>
    <w:rsid w:val="0004471A"/>
    <w:rsid w:val="000470C1"/>
    <w:rsid w:val="00047D93"/>
    <w:rsid w:val="00052740"/>
    <w:rsid w:val="00057E6E"/>
    <w:rsid w:val="00070400"/>
    <w:rsid w:val="0007067B"/>
    <w:rsid w:val="000713E1"/>
    <w:rsid w:val="000757C7"/>
    <w:rsid w:val="000917A4"/>
    <w:rsid w:val="00097AB4"/>
    <w:rsid w:val="000A3207"/>
    <w:rsid w:val="000A6BE2"/>
    <w:rsid w:val="000B2AB6"/>
    <w:rsid w:val="000B4FA7"/>
    <w:rsid w:val="000C4F02"/>
    <w:rsid w:val="000C616A"/>
    <w:rsid w:val="000D480A"/>
    <w:rsid w:val="000D4DAE"/>
    <w:rsid w:val="000D657F"/>
    <w:rsid w:val="000E2B8D"/>
    <w:rsid w:val="000E4BEA"/>
    <w:rsid w:val="000E7279"/>
    <w:rsid w:val="000F027F"/>
    <w:rsid w:val="000F068D"/>
    <w:rsid w:val="000F23C9"/>
    <w:rsid w:val="000F2A50"/>
    <w:rsid w:val="000F7A53"/>
    <w:rsid w:val="0010060E"/>
    <w:rsid w:val="00101CB9"/>
    <w:rsid w:val="00102344"/>
    <w:rsid w:val="00102696"/>
    <w:rsid w:val="001050A6"/>
    <w:rsid w:val="00106E4C"/>
    <w:rsid w:val="001141B0"/>
    <w:rsid w:val="0012039D"/>
    <w:rsid w:val="001210DE"/>
    <w:rsid w:val="00123C04"/>
    <w:rsid w:val="00124701"/>
    <w:rsid w:val="00133089"/>
    <w:rsid w:val="001344A1"/>
    <w:rsid w:val="00137E1C"/>
    <w:rsid w:val="00140808"/>
    <w:rsid w:val="001464EE"/>
    <w:rsid w:val="001526A6"/>
    <w:rsid w:val="00156994"/>
    <w:rsid w:val="001645C0"/>
    <w:rsid w:val="00167A52"/>
    <w:rsid w:val="001760BF"/>
    <w:rsid w:val="00176C9D"/>
    <w:rsid w:val="00177DC2"/>
    <w:rsid w:val="00181C35"/>
    <w:rsid w:val="0018594C"/>
    <w:rsid w:val="00186760"/>
    <w:rsid w:val="001914A4"/>
    <w:rsid w:val="001A5AF8"/>
    <w:rsid w:val="001B42BA"/>
    <w:rsid w:val="001C36FC"/>
    <w:rsid w:val="001D5A2A"/>
    <w:rsid w:val="001D5DBB"/>
    <w:rsid w:val="001E30DD"/>
    <w:rsid w:val="001E6B0C"/>
    <w:rsid w:val="00207124"/>
    <w:rsid w:val="0021183C"/>
    <w:rsid w:val="00212DBA"/>
    <w:rsid w:val="00214D71"/>
    <w:rsid w:val="0021580D"/>
    <w:rsid w:val="002165A0"/>
    <w:rsid w:val="00221117"/>
    <w:rsid w:val="00225A79"/>
    <w:rsid w:val="00225D46"/>
    <w:rsid w:val="00225F07"/>
    <w:rsid w:val="0023477A"/>
    <w:rsid w:val="002347DF"/>
    <w:rsid w:val="002410C0"/>
    <w:rsid w:val="002421FB"/>
    <w:rsid w:val="002462D3"/>
    <w:rsid w:val="002464B6"/>
    <w:rsid w:val="00253027"/>
    <w:rsid w:val="00254B0B"/>
    <w:rsid w:val="00256AED"/>
    <w:rsid w:val="002572A8"/>
    <w:rsid w:val="00260E0A"/>
    <w:rsid w:val="002633F3"/>
    <w:rsid w:val="00263486"/>
    <w:rsid w:val="00264EF2"/>
    <w:rsid w:val="00270770"/>
    <w:rsid w:val="002722AE"/>
    <w:rsid w:val="00275CF3"/>
    <w:rsid w:val="0028565A"/>
    <w:rsid w:val="0028711B"/>
    <w:rsid w:val="00291D1A"/>
    <w:rsid w:val="00291D7D"/>
    <w:rsid w:val="00292D05"/>
    <w:rsid w:val="00293C47"/>
    <w:rsid w:val="00297D29"/>
    <w:rsid w:val="002A1272"/>
    <w:rsid w:val="002A3185"/>
    <w:rsid w:val="002A4426"/>
    <w:rsid w:val="002A4ECB"/>
    <w:rsid w:val="002A7031"/>
    <w:rsid w:val="002A755A"/>
    <w:rsid w:val="002B03BF"/>
    <w:rsid w:val="002B12F1"/>
    <w:rsid w:val="002B2BBF"/>
    <w:rsid w:val="002B72CD"/>
    <w:rsid w:val="002C140F"/>
    <w:rsid w:val="002C167F"/>
    <w:rsid w:val="002C5C2C"/>
    <w:rsid w:val="002D0DC7"/>
    <w:rsid w:val="002D2A77"/>
    <w:rsid w:val="002D428A"/>
    <w:rsid w:val="002D5A48"/>
    <w:rsid w:val="002E1292"/>
    <w:rsid w:val="002E1389"/>
    <w:rsid w:val="002E15E0"/>
    <w:rsid w:val="002E463C"/>
    <w:rsid w:val="002E4D20"/>
    <w:rsid w:val="002F0C18"/>
    <w:rsid w:val="002F44E8"/>
    <w:rsid w:val="002F785C"/>
    <w:rsid w:val="00301018"/>
    <w:rsid w:val="003032F8"/>
    <w:rsid w:val="003046C4"/>
    <w:rsid w:val="00304B27"/>
    <w:rsid w:val="00305ACE"/>
    <w:rsid w:val="003123F1"/>
    <w:rsid w:val="003143FE"/>
    <w:rsid w:val="003158AB"/>
    <w:rsid w:val="00315901"/>
    <w:rsid w:val="00317425"/>
    <w:rsid w:val="00317448"/>
    <w:rsid w:val="003228B8"/>
    <w:rsid w:val="003303BB"/>
    <w:rsid w:val="003316FD"/>
    <w:rsid w:val="00332B41"/>
    <w:rsid w:val="00334B73"/>
    <w:rsid w:val="003430AB"/>
    <w:rsid w:val="00346391"/>
    <w:rsid w:val="00346C81"/>
    <w:rsid w:val="0035172F"/>
    <w:rsid w:val="00352FA9"/>
    <w:rsid w:val="00366268"/>
    <w:rsid w:val="00366DEC"/>
    <w:rsid w:val="00370F80"/>
    <w:rsid w:val="0037249B"/>
    <w:rsid w:val="003738C0"/>
    <w:rsid w:val="00373D0B"/>
    <w:rsid w:val="00384C6C"/>
    <w:rsid w:val="00385A9E"/>
    <w:rsid w:val="00393D14"/>
    <w:rsid w:val="0039428B"/>
    <w:rsid w:val="003A0F4B"/>
    <w:rsid w:val="003A3AF9"/>
    <w:rsid w:val="003A5F39"/>
    <w:rsid w:val="003B3059"/>
    <w:rsid w:val="003C076E"/>
    <w:rsid w:val="003C6C31"/>
    <w:rsid w:val="003D0426"/>
    <w:rsid w:val="003D056F"/>
    <w:rsid w:val="003D26E3"/>
    <w:rsid w:val="003D333B"/>
    <w:rsid w:val="003D528F"/>
    <w:rsid w:val="003D5E1E"/>
    <w:rsid w:val="003D6179"/>
    <w:rsid w:val="003D78E3"/>
    <w:rsid w:val="003F002D"/>
    <w:rsid w:val="003F20C9"/>
    <w:rsid w:val="003F2508"/>
    <w:rsid w:val="003F4B16"/>
    <w:rsid w:val="00402621"/>
    <w:rsid w:val="004128EB"/>
    <w:rsid w:val="00415ACF"/>
    <w:rsid w:val="00415FC5"/>
    <w:rsid w:val="004164A7"/>
    <w:rsid w:val="0042119D"/>
    <w:rsid w:val="00421AD9"/>
    <w:rsid w:val="0042268E"/>
    <w:rsid w:val="0042283E"/>
    <w:rsid w:val="00426375"/>
    <w:rsid w:val="0043095F"/>
    <w:rsid w:val="00431906"/>
    <w:rsid w:val="00433EAA"/>
    <w:rsid w:val="00433F10"/>
    <w:rsid w:val="004343B9"/>
    <w:rsid w:val="00437C07"/>
    <w:rsid w:val="0044057D"/>
    <w:rsid w:val="0044522A"/>
    <w:rsid w:val="00445A78"/>
    <w:rsid w:val="004501C5"/>
    <w:rsid w:val="0045530A"/>
    <w:rsid w:val="00461A4A"/>
    <w:rsid w:val="004636E7"/>
    <w:rsid w:val="00464D5F"/>
    <w:rsid w:val="0047525A"/>
    <w:rsid w:val="0047547B"/>
    <w:rsid w:val="00475539"/>
    <w:rsid w:val="00475C28"/>
    <w:rsid w:val="004779C0"/>
    <w:rsid w:val="00481319"/>
    <w:rsid w:val="00483335"/>
    <w:rsid w:val="00484B65"/>
    <w:rsid w:val="004947D0"/>
    <w:rsid w:val="00496336"/>
    <w:rsid w:val="0049744B"/>
    <w:rsid w:val="004A3563"/>
    <w:rsid w:val="004A5429"/>
    <w:rsid w:val="004A5576"/>
    <w:rsid w:val="004B35C6"/>
    <w:rsid w:val="004B79E2"/>
    <w:rsid w:val="004C0EBA"/>
    <w:rsid w:val="004C54B0"/>
    <w:rsid w:val="004C60CA"/>
    <w:rsid w:val="004D0C55"/>
    <w:rsid w:val="004D3140"/>
    <w:rsid w:val="004D3F1C"/>
    <w:rsid w:val="004D6AFB"/>
    <w:rsid w:val="004E6781"/>
    <w:rsid w:val="004E6AB5"/>
    <w:rsid w:val="004F2A36"/>
    <w:rsid w:val="004F44CE"/>
    <w:rsid w:val="00500928"/>
    <w:rsid w:val="0050421B"/>
    <w:rsid w:val="00510155"/>
    <w:rsid w:val="0051056F"/>
    <w:rsid w:val="00514DDC"/>
    <w:rsid w:val="005270E0"/>
    <w:rsid w:val="00530BF6"/>
    <w:rsid w:val="00531FFC"/>
    <w:rsid w:val="00533540"/>
    <w:rsid w:val="00533656"/>
    <w:rsid w:val="00534FEB"/>
    <w:rsid w:val="005420C8"/>
    <w:rsid w:val="0054306B"/>
    <w:rsid w:val="005437DD"/>
    <w:rsid w:val="005458F6"/>
    <w:rsid w:val="00545A14"/>
    <w:rsid w:val="0055014D"/>
    <w:rsid w:val="00551589"/>
    <w:rsid w:val="00555B3B"/>
    <w:rsid w:val="005616CF"/>
    <w:rsid w:val="0056210A"/>
    <w:rsid w:val="00562395"/>
    <w:rsid w:val="00565EF2"/>
    <w:rsid w:val="00570597"/>
    <w:rsid w:val="0058013C"/>
    <w:rsid w:val="005815C9"/>
    <w:rsid w:val="005820F5"/>
    <w:rsid w:val="00584780"/>
    <w:rsid w:val="005867CB"/>
    <w:rsid w:val="005B03A3"/>
    <w:rsid w:val="005B44F8"/>
    <w:rsid w:val="005C1D0A"/>
    <w:rsid w:val="005C7FF7"/>
    <w:rsid w:val="005D2564"/>
    <w:rsid w:val="005D5D13"/>
    <w:rsid w:val="005D6B6E"/>
    <w:rsid w:val="005E0CA0"/>
    <w:rsid w:val="005E14D7"/>
    <w:rsid w:val="005E2BEB"/>
    <w:rsid w:val="005F10E1"/>
    <w:rsid w:val="005F2A48"/>
    <w:rsid w:val="005F2D09"/>
    <w:rsid w:val="005F35A6"/>
    <w:rsid w:val="005F5636"/>
    <w:rsid w:val="00602A91"/>
    <w:rsid w:val="006119A4"/>
    <w:rsid w:val="0061263A"/>
    <w:rsid w:val="00613A74"/>
    <w:rsid w:val="00613DCE"/>
    <w:rsid w:val="0061428C"/>
    <w:rsid w:val="006164D6"/>
    <w:rsid w:val="006234B9"/>
    <w:rsid w:val="00625898"/>
    <w:rsid w:val="006262D2"/>
    <w:rsid w:val="0063064A"/>
    <w:rsid w:val="00632240"/>
    <w:rsid w:val="006336A8"/>
    <w:rsid w:val="00635621"/>
    <w:rsid w:val="00635B0D"/>
    <w:rsid w:val="00637795"/>
    <w:rsid w:val="006521F7"/>
    <w:rsid w:val="00652986"/>
    <w:rsid w:val="0065315D"/>
    <w:rsid w:val="00653327"/>
    <w:rsid w:val="00653F5F"/>
    <w:rsid w:val="0065425B"/>
    <w:rsid w:val="006552D1"/>
    <w:rsid w:val="00660E74"/>
    <w:rsid w:val="00662ECF"/>
    <w:rsid w:val="00663E24"/>
    <w:rsid w:val="006647E0"/>
    <w:rsid w:val="00671CA4"/>
    <w:rsid w:val="00673218"/>
    <w:rsid w:val="00677E8B"/>
    <w:rsid w:val="0068630A"/>
    <w:rsid w:val="00690613"/>
    <w:rsid w:val="006940E0"/>
    <w:rsid w:val="00695764"/>
    <w:rsid w:val="00695DA6"/>
    <w:rsid w:val="00696830"/>
    <w:rsid w:val="00697C87"/>
    <w:rsid w:val="00697D8A"/>
    <w:rsid w:val="006A249C"/>
    <w:rsid w:val="006A6ADB"/>
    <w:rsid w:val="006A79B0"/>
    <w:rsid w:val="006B02CC"/>
    <w:rsid w:val="006B4D9C"/>
    <w:rsid w:val="006B6491"/>
    <w:rsid w:val="006B6C8A"/>
    <w:rsid w:val="006B71AF"/>
    <w:rsid w:val="006B7FF4"/>
    <w:rsid w:val="006C3B33"/>
    <w:rsid w:val="006C4BA4"/>
    <w:rsid w:val="006D17E2"/>
    <w:rsid w:val="006D43D9"/>
    <w:rsid w:val="006D4CA0"/>
    <w:rsid w:val="006D75F7"/>
    <w:rsid w:val="006E6C1E"/>
    <w:rsid w:val="006F087B"/>
    <w:rsid w:val="006F16E0"/>
    <w:rsid w:val="006F3D85"/>
    <w:rsid w:val="006F5539"/>
    <w:rsid w:val="006F770E"/>
    <w:rsid w:val="006F7D00"/>
    <w:rsid w:val="0070408C"/>
    <w:rsid w:val="00705F2B"/>
    <w:rsid w:val="007066B8"/>
    <w:rsid w:val="007071E1"/>
    <w:rsid w:val="00707AE3"/>
    <w:rsid w:val="00710E9F"/>
    <w:rsid w:val="00711DE3"/>
    <w:rsid w:val="00712EB3"/>
    <w:rsid w:val="00715054"/>
    <w:rsid w:val="007154BD"/>
    <w:rsid w:val="00716F1E"/>
    <w:rsid w:val="007178CC"/>
    <w:rsid w:val="0073534D"/>
    <w:rsid w:val="007369A9"/>
    <w:rsid w:val="00736AFC"/>
    <w:rsid w:val="00737F31"/>
    <w:rsid w:val="00740C5B"/>
    <w:rsid w:val="00740E0F"/>
    <w:rsid w:val="00740EC3"/>
    <w:rsid w:val="0074222C"/>
    <w:rsid w:val="00743FD7"/>
    <w:rsid w:val="0075187A"/>
    <w:rsid w:val="007527E9"/>
    <w:rsid w:val="00752842"/>
    <w:rsid w:val="00752947"/>
    <w:rsid w:val="007541E1"/>
    <w:rsid w:val="00760515"/>
    <w:rsid w:val="00760F80"/>
    <w:rsid w:val="00765903"/>
    <w:rsid w:val="00766654"/>
    <w:rsid w:val="00767953"/>
    <w:rsid w:val="00773A36"/>
    <w:rsid w:val="007751D1"/>
    <w:rsid w:val="00775A31"/>
    <w:rsid w:val="0077601A"/>
    <w:rsid w:val="00780396"/>
    <w:rsid w:val="007819CE"/>
    <w:rsid w:val="00781BC8"/>
    <w:rsid w:val="00783BA5"/>
    <w:rsid w:val="007868F3"/>
    <w:rsid w:val="00787B7D"/>
    <w:rsid w:val="00793BB6"/>
    <w:rsid w:val="007B18C9"/>
    <w:rsid w:val="007B5DA4"/>
    <w:rsid w:val="007B6E95"/>
    <w:rsid w:val="007C2CCD"/>
    <w:rsid w:val="007C5A2D"/>
    <w:rsid w:val="007C5D7E"/>
    <w:rsid w:val="007C6E02"/>
    <w:rsid w:val="007D0F7D"/>
    <w:rsid w:val="007D1DD0"/>
    <w:rsid w:val="007D2FE9"/>
    <w:rsid w:val="007D63E8"/>
    <w:rsid w:val="007E0F54"/>
    <w:rsid w:val="007E50F2"/>
    <w:rsid w:val="007E5BB8"/>
    <w:rsid w:val="007E700F"/>
    <w:rsid w:val="007E7391"/>
    <w:rsid w:val="007F13F8"/>
    <w:rsid w:val="007F3CAF"/>
    <w:rsid w:val="007F52DE"/>
    <w:rsid w:val="00801428"/>
    <w:rsid w:val="00801AC0"/>
    <w:rsid w:val="00802452"/>
    <w:rsid w:val="008146D5"/>
    <w:rsid w:val="00816CAD"/>
    <w:rsid w:val="00817A8D"/>
    <w:rsid w:val="00821C2B"/>
    <w:rsid w:val="0082200F"/>
    <w:rsid w:val="008235AB"/>
    <w:rsid w:val="008256C8"/>
    <w:rsid w:val="0082584E"/>
    <w:rsid w:val="00826602"/>
    <w:rsid w:val="008275DA"/>
    <w:rsid w:val="0083424A"/>
    <w:rsid w:val="00834D1F"/>
    <w:rsid w:val="008366F2"/>
    <w:rsid w:val="00840EF2"/>
    <w:rsid w:val="00843D1F"/>
    <w:rsid w:val="00844CF1"/>
    <w:rsid w:val="0084721B"/>
    <w:rsid w:val="00852532"/>
    <w:rsid w:val="008539A8"/>
    <w:rsid w:val="00856039"/>
    <w:rsid w:val="00864FB1"/>
    <w:rsid w:val="008700BF"/>
    <w:rsid w:val="00870C63"/>
    <w:rsid w:val="00871D7F"/>
    <w:rsid w:val="008741ED"/>
    <w:rsid w:val="00885087"/>
    <w:rsid w:val="0089228B"/>
    <w:rsid w:val="00897568"/>
    <w:rsid w:val="008A4A4E"/>
    <w:rsid w:val="008A7578"/>
    <w:rsid w:val="008B37C6"/>
    <w:rsid w:val="008B52BF"/>
    <w:rsid w:val="008C2F4E"/>
    <w:rsid w:val="008C652F"/>
    <w:rsid w:val="008C7129"/>
    <w:rsid w:val="008D251F"/>
    <w:rsid w:val="008D442B"/>
    <w:rsid w:val="008D768E"/>
    <w:rsid w:val="008F36C2"/>
    <w:rsid w:val="008F55D3"/>
    <w:rsid w:val="008F71C3"/>
    <w:rsid w:val="009038D3"/>
    <w:rsid w:val="00905B25"/>
    <w:rsid w:val="0090779A"/>
    <w:rsid w:val="00911F6E"/>
    <w:rsid w:val="009147CC"/>
    <w:rsid w:val="009165A3"/>
    <w:rsid w:val="00921787"/>
    <w:rsid w:val="00922A8E"/>
    <w:rsid w:val="00924824"/>
    <w:rsid w:val="00926DDE"/>
    <w:rsid w:val="00931567"/>
    <w:rsid w:val="00931BEF"/>
    <w:rsid w:val="00934124"/>
    <w:rsid w:val="00940F5F"/>
    <w:rsid w:val="009426EF"/>
    <w:rsid w:val="00943EBE"/>
    <w:rsid w:val="00944B39"/>
    <w:rsid w:val="00945211"/>
    <w:rsid w:val="0095551E"/>
    <w:rsid w:val="009628C6"/>
    <w:rsid w:val="00964EC5"/>
    <w:rsid w:val="00967930"/>
    <w:rsid w:val="00970D25"/>
    <w:rsid w:val="00972024"/>
    <w:rsid w:val="00975AFF"/>
    <w:rsid w:val="0097638B"/>
    <w:rsid w:val="009808A3"/>
    <w:rsid w:val="009813C6"/>
    <w:rsid w:val="00981FD1"/>
    <w:rsid w:val="0098227A"/>
    <w:rsid w:val="00990C1C"/>
    <w:rsid w:val="00990D94"/>
    <w:rsid w:val="00991CB6"/>
    <w:rsid w:val="00995B58"/>
    <w:rsid w:val="00996472"/>
    <w:rsid w:val="009A07BA"/>
    <w:rsid w:val="009A4EDB"/>
    <w:rsid w:val="009A7C9A"/>
    <w:rsid w:val="009B12AE"/>
    <w:rsid w:val="009B4971"/>
    <w:rsid w:val="009B49C6"/>
    <w:rsid w:val="009B71AA"/>
    <w:rsid w:val="009C6FD0"/>
    <w:rsid w:val="009C7492"/>
    <w:rsid w:val="009D4CB4"/>
    <w:rsid w:val="009D4D0B"/>
    <w:rsid w:val="009E66CC"/>
    <w:rsid w:val="009E74E7"/>
    <w:rsid w:val="009F1A6B"/>
    <w:rsid w:val="009F2C1B"/>
    <w:rsid w:val="009F7AC9"/>
    <w:rsid w:val="00A01616"/>
    <w:rsid w:val="00A01AE6"/>
    <w:rsid w:val="00A01B2B"/>
    <w:rsid w:val="00A035FC"/>
    <w:rsid w:val="00A06595"/>
    <w:rsid w:val="00A068F9"/>
    <w:rsid w:val="00A10E10"/>
    <w:rsid w:val="00A13A2B"/>
    <w:rsid w:val="00A14912"/>
    <w:rsid w:val="00A1606B"/>
    <w:rsid w:val="00A1763D"/>
    <w:rsid w:val="00A21DBD"/>
    <w:rsid w:val="00A3250D"/>
    <w:rsid w:val="00A33B5C"/>
    <w:rsid w:val="00A34FBF"/>
    <w:rsid w:val="00A40042"/>
    <w:rsid w:val="00A443A5"/>
    <w:rsid w:val="00A44A4E"/>
    <w:rsid w:val="00A50E6F"/>
    <w:rsid w:val="00A60AD7"/>
    <w:rsid w:val="00A71CD3"/>
    <w:rsid w:val="00A71CE8"/>
    <w:rsid w:val="00A81B50"/>
    <w:rsid w:val="00A84262"/>
    <w:rsid w:val="00A85A85"/>
    <w:rsid w:val="00A912F2"/>
    <w:rsid w:val="00A91C76"/>
    <w:rsid w:val="00A96248"/>
    <w:rsid w:val="00AA1E22"/>
    <w:rsid w:val="00AA1F65"/>
    <w:rsid w:val="00AA30F0"/>
    <w:rsid w:val="00AB7036"/>
    <w:rsid w:val="00AB79FF"/>
    <w:rsid w:val="00AB7E12"/>
    <w:rsid w:val="00AC0C9C"/>
    <w:rsid w:val="00AD4371"/>
    <w:rsid w:val="00AD5686"/>
    <w:rsid w:val="00AD58F7"/>
    <w:rsid w:val="00AD6876"/>
    <w:rsid w:val="00AD6D0A"/>
    <w:rsid w:val="00AE0B3D"/>
    <w:rsid w:val="00AE0C5C"/>
    <w:rsid w:val="00AE657A"/>
    <w:rsid w:val="00AF7B03"/>
    <w:rsid w:val="00B00920"/>
    <w:rsid w:val="00B00CE6"/>
    <w:rsid w:val="00B01F53"/>
    <w:rsid w:val="00B022B7"/>
    <w:rsid w:val="00B06BDB"/>
    <w:rsid w:val="00B1089E"/>
    <w:rsid w:val="00B12153"/>
    <w:rsid w:val="00B20C86"/>
    <w:rsid w:val="00B21A71"/>
    <w:rsid w:val="00B32B1A"/>
    <w:rsid w:val="00B52306"/>
    <w:rsid w:val="00B57CD5"/>
    <w:rsid w:val="00B61E9E"/>
    <w:rsid w:val="00B628AA"/>
    <w:rsid w:val="00B646A3"/>
    <w:rsid w:val="00B66C14"/>
    <w:rsid w:val="00B71D27"/>
    <w:rsid w:val="00B74F93"/>
    <w:rsid w:val="00B75E36"/>
    <w:rsid w:val="00B75EFD"/>
    <w:rsid w:val="00B82EC4"/>
    <w:rsid w:val="00B84EB4"/>
    <w:rsid w:val="00B86B34"/>
    <w:rsid w:val="00B870E8"/>
    <w:rsid w:val="00B90BEE"/>
    <w:rsid w:val="00B90CC7"/>
    <w:rsid w:val="00B91865"/>
    <w:rsid w:val="00B91DC5"/>
    <w:rsid w:val="00B91EA5"/>
    <w:rsid w:val="00B95C9F"/>
    <w:rsid w:val="00BA0FE8"/>
    <w:rsid w:val="00BA3962"/>
    <w:rsid w:val="00BA56B0"/>
    <w:rsid w:val="00BA6D74"/>
    <w:rsid w:val="00BB3DAC"/>
    <w:rsid w:val="00BC16AD"/>
    <w:rsid w:val="00BC618B"/>
    <w:rsid w:val="00BC62D9"/>
    <w:rsid w:val="00BD029C"/>
    <w:rsid w:val="00BD02E5"/>
    <w:rsid w:val="00BD6458"/>
    <w:rsid w:val="00BE2DD6"/>
    <w:rsid w:val="00BE38E0"/>
    <w:rsid w:val="00BF1AAD"/>
    <w:rsid w:val="00BF4115"/>
    <w:rsid w:val="00BF7EE1"/>
    <w:rsid w:val="00C00931"/>
    <w:rsid w:val="00C018EC"/>
    <w:rsid w:val="00C1134B"/>
    <w:rsid w:val="00C15E32"/>
    <w:rsid w:val="00C1750D"/>
    <w:rsid w:val="00C178F6"/>
    <w:rsid w:val="00C305CD"/>
    <w:rsid w:val="00C322C9"/>
    <w:rsid w:val="00C33A79"/>
    <w:rsid w:val="00C363B2"/>
    <w:rsid w:val="00C40542"/>
    <w:rsid w:val="00C4126C"/>
    <w:rsid w:val="00C477CF"/>
    <w:rsid w:val="00C50E96"/>
    <w:rsid w:val="00C55211"/>
    <w:rsid w:val="00C57EB2"/>
    <w:rsid w:val="00C6066D"/>
    <w:rsid w:val="00C60808"/>
    <w:rsid w:val="00C61C6E"/>
    <w:rsid w:val="00C62AD1"/>
    <w:rsid w:val="00C6491B"/>
    <w:rsid w:val="00C730EE"/>
    <w:rsid w:val="00C73252"/>
    <w:rsid w:val="00C76BFC"/>
    <w:rsid w:val="00C76E48"/>
    <w:rsid w:val="00C775DA"/>
    <w:rsid w:val="00C77FDE"/>
    <w:rsid w:val="00C86F5C"/>
    <w:rsid w:val="00C9198E"/>
    <w:rsid w:val="00C91CCE"/>
    <w:rsid w:val="00C959F8"/>
    <w:rsid w:val="00CA1C63"/>
    <w:rsid w:val="00CA3FDF"/>
    <w:rsid w:val="00CA56B1"/>
    <w:rsid w:val="00CB41B9"/>
    <w:rsid w:val="00CB4BA8"/>
    <w:rsid w:val="00CB5AD3"/>
    <w:rsid w:val="00CB67FB"/>
    <w:rsid w:val="00CB7B81"/>
    <w:rsid w:val="00CB7ECE"/>
    <w:rsid w:val="00CC1D62"/>
    <w:rsid w:val="00CC3B54"/>
    <w:rsid w:val="00CC6E2D"/>
    <w:rsid w:val="00CD07CD"/>
    <w:rsid w:val="00CD15AD"/>
    <w:rsid w:val="00CD6AB9"/>
    <w:rsid w:val="00CD79DC"/>
    <w:rsid w:val="00CE640E"/>
    <w:rsid w:val="00CE7CAE"/>
    <w:rsid w:val="00CF2799"/>
    <w:rsid w:val="00CF4D36"/>
    <w:rsid w:val="00CF7456"/>
    <w:rsid w:val="00D035EF"/>
    <w:rsid w:val="00D112E7"/>
    <w:rsid w:val="00D1362E"/>
    <w:rsid w:val="00D13A17"/>
    <w:rsid w:val="00D15AD6"/>
    <w:rsid w:val="00D16287"/>
    <w:rsid w:val="00D16EAC"/>
    <w:rsid w:val="00D17961"/>
    <w:rsid w:val="00D21003"/>
    <w:rsid w:val="00D24AF1"/>
    <w:rsid w:val="00D2628E"/>
    <w:rsid w:val="00D3166C"/>
    <w:rsid w:val="00D3349D"/>
    <w:rsid w:val="00D33742"/>
    <w:rsid w:val="00D33B44"/>
    <w:rsid w:val="00D340D7"/>
    <w:rsid w:val="00D36BE3"/>
    <w:rsid w:val="00D3766B"/>
    <w:rsid w:val="00D43E23"/>
    <w:rsid w:val="00D4436B"/>
    <w:rsid w:val="00D51E54"/>
    <w:rsid w:val="00D521BF"/>
    <w:rsid w:val="00D52B6A"/>
    <w:rsid w:val="00D543DF"/>
    <w:rsid w:val="00D6240F"/>
    <w:rsid w:val="00D63686"/>
    <w:rsid w:val="00D64930"/>
    <w:rsid w:val="00D661E5"/>
    <w:rsid w:val="00D714F2"/>
    <w:rsid w:val="00D86902"/>
    <w:rsid w:val="00D94D5D"/>
    <w:rsid w:val="00DA7DDA"/>
    <w:rsid w:val="00DB1219"/>
    <w:rsid w:val="00DB64CE"/>
    <w:rsid w:val="00DB72DF"/>
    <w:rsid w:val="00DC448D"/>
    <w:rsid w:val="00DC704E"/>
    <w:rsid w:val="00DD2B2D"/>
    <w:rsid w:val="00DD493A"/>
    <w:rsid w:val="00DD50B5"/>
    <w:rsid w:val="00DD6F41"/>
    <w:rsid w:val="00DE2F70"/>
    <w:rsid w:val="00DE391D"/>
    <w:rsid w:val="00DE7818"/>
    <w:rsid w:val="00DF1AED"/>
    <w:rsid w:val="00DF28FE"/>
    <w:rsid w:val="00DF3007"/>
    <w:rsid w:val="00DF7C51"/>
    <w:rsid w:val="00E03F3D"/>
    <w:rsid w:val="00E04BC9"/>
    <w:rsid w:val="00E05132"/>
    <w:rsid w:val="00E07C53"/>
    <w:rsid w:val="00E1069D"/>
    <w:rsid w:val="00E227F7"/>
    <w:rsid w:val="00E237A8"/>
    <w:rsid w:val="00E27DB3"/>
    <w:rsid w:val="00E30058"/>
    <w:rsid w:val="00E30514"/>
    <w:rsid w:val="00E30A6A"/>
    <w:rsid w:val="00E30C59"/>
    <w:rsid w:val="00E335F7"/>
    <w:rsid w:val="00E33859"/>
    <w:rsid w:val="00E352B4"/>
    <w:rsid w:val="00E433AB"/>
    <w:rsid w:val="00E4481F"/>
    <w:rsid w:val="00E46A4F"/>
    <w:rsid w:val="00E500CB"/>
    <w:rsid w:val="00E5415A"/>
    <w:rsid w:val="00E548E4"/>
    <w:rsid w:val="00E62426"/>
    <w:rsid w:val="00E6486E"/>
    <w:rsid w:val="00E65314"/>
    <w:rsid w:val="00E7024A"/>
    <w:rsid w:val="00E717D9"/>
    <w:rsid w:val="00E75EE9"/>
    <w:rsid w:val="00E77635"/>
    <w:rsid w:val="00E77F99"/>
    <w:rsid w:val="00E82659"/>
    <w:rsid w:val="00E82E4B"/>
    <w:rsid w:val="00E83B5B"/>
    <w:rsid w:val="00E843DD"/>
    <w:rsid w:val="00E84705"/>
    <w:rsid w:val="00E85946"/>
    <w:rsid w:val="00E85FBC"/>
    <w:rsid w:val="00E92D41"/>
    <w:rsid w:val="00E954C5"/>
    <w:rsid w:val="00E95E24"/>
    <w:rsid w:val="00E96DCE"/>
    <w:rsid w:val="00EA71B1"/>
    <w:rsid w:val="00EC0580"/>
    <w:rsid w:val="00EC116F"/>
    <w:rsid w:val="00EC6D6B"/>
    <w:rsid w:val="00ED0748"/>
    <w:rsid w:val="00ED693B"/>
    <w:rsid w:val="00ED70E6"/>
    <w:rsid w:val="00EE12DE"/>
    <w:rsid w:val="00EE489E"/>
    <w:rsid w:val="00EE6BB7"/>
    <w:rsid w:val="00F0174E"/>
    <w:rsid w:val="00F03FAA"/>
    <w:rsid w:val="00F057DB"/>
    <w:rsid w:val="00F11DBB"/>
    <w:rsid w:val="00F15F2F"/>
    <w:rsid w:val="00F21209"/>
    <w:rsid w:val="00F21838"/>
    <w:rsid w:val="00F222B8"/>
    <w:rsid w:val="00F25848"/>
    <w:rsid w:val="00F265A9"/>
    <w:rsid w:val="00F27F6A"/>
    <w:rsid w:val="00F30AF5"/>
    <w:rsid w:val="00F31DEA"/>
    <w:rsid w:val="00F3233D"/>
    <w:rsid w:val="00F342C3"/>
    <w:rsid w:val="00F3558F"/>
    <w:rsid w:val="00F40107"/>
    <w:rsid w:val="00F458F6"/>
    <w:rsid w:val="00F45908"/>
    <w:rsid w:val="00F46804"/>
    <w:rsid w:val="00F5341F"/>
    <w:rsid w:val="00F54172"/>
    <w:rsid w:val="00F613BD"/>
    <w:rsid w:val="00F66C47"/>
    <w:rsid w:val="00F733E8"/>
    <w:rsid w:val="00F73F32"/>
    <w:rsid w:val="00F776BD"/>
    <w:rsid w:val="00F77C9D"/>
    <w:rsid w:val="00F82558"/>
    <w:rsid w:val="00F903E3"/>
    <w:rsid w:val="00F90CEF"/>
    <w:rsid w:val="00F93191"/>
    <w:rsid w:val="00F94C18"/>
    <w:rsid w:val="00F95065"/>
    <w:rsid w:val="00F97BAE"/>
    <w:rsid w:val="00FA07A7"/>
    <w:rsid w:val="00FA1C09"/>
    <w:rsid w:val="00FA2BD6"/>
    <w:rsid w:val="00FA7735"/>
    <w:rsid w:val="00FB3484"/>
    <w:rsid w:val="00FD0AC9"/>
    <w:rsid w:val="00FD4308"/>
    <w:rsid w:val="00FD44E1"/>
    <w:rsid w:val="00FD51B2"/>
    <w:rsid w:val="00FD55F4"/>
    <w:rsid w:val="00FD6E9B"/>
    <w:rsid w:val="00FE32A8"/>
    <w:rsid w:val="00FE4B93"/>
    <w:rsid w:val="00FE57CB"/>
    <w:rsid w:val="00FE6241"/>
    <w:rsid w:val="00FF04F2"/>
    <w:rsid w:val="00FF07E9"/>
    <w:rsid w:val="00FF400B"/>
    <w:rsid w:val="00FF4075"/>
    <w:rsid w:val="00FF685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color="#ca1634" strokecolor="#ca1634">
      <v:fill color="#ca1634"/>
      <v:stroke color="#ca1634"/>
      <o:colormru v:ext="edit" colors="#ea3452,#e71b3d,#ca1634"/>
    </o:shapedefaults>
    <o:shapelayout v:ext="edit">
      <o:idmap v:ext="edit" data="2"/>
    </o:shapelayout>
  </w:shapeDefaults>
  <w:decimalSymbol w:val=","/>
  <w:listSeparator w:val=";"/>
  <w14:docId w14:val="259FA61C"/>
  <w15:docId w15:val="{DCE84A53-230D-46F5-BAA3-A0573D408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4D20"/>
    <w:pPr>
      <w:jc w:val="both"/>
    </w:pPr>
    <w:rPr>
      <w:rFonts w:ascii="Arial" w:eastAsia="Arial" w:hAnsi="Arial"/>
      <w:color w:val="666666"/>
      <w:sz w:val="18"/>
    </w:rPr>
  </w:style>
  <w:style w:type="paragraph" w:styleId="Titre1">
    <w:name w:val="heading 1"/>
    <w:basedOn w:val="TitreBase"/>
    <w:next w:val="Corpsdetexte"/>
    <w:qFormat/>
    <w:rsid w:val="00F222B8"/>
    <w:pPr>
      <w:spacing w:before="220" w:after="220"/>
      <w:ind w:left="-2160"/>
      <w:jc w:val="left"/>
      <w:outlineLvl w:val="0"/>
    </w:pPr>
    <w:rPr>
      <w:rFonts w:ascii="Arial Black" w:hAnsi="Arial Black"/>
      <w:kern w:val="28"/>
      <w:sz w:val="20"/>
    </w:rPr>
  </w:style>
  <w:style w:type="paragraph" w:styleId="Titre2">
    <w:name w:val="heading 2"/>
    <w:basedOn w:val="TitreBase"/>
    <w:next w:val="Corpsdetexte"/>
    <w:qFormat/>
    <w:rsid w:val="00F222B8"/>
    <w:pPr>
      <w:spacing w:after="220"/>
      <w:jc w:val="left"/>
      <w:outlineLvl w:val="1"/>
    </w:pPr>
    <w:rPr>
      <w:rFonts w:ascii="Arial Black" w:hAnsi="Arial Black"/>
      <w:sz w:val="20"/>
    </w:rPr>
  </w:style>
  <w:style w:type="paragraph" w:styleId="Titre3">
    <w:name w:val="heading 3"/>
    <w:basedOn w:val="TitreBase"/>
    <w:next w:val="Corpsdetexte"/>
    <w:qFormat/>
    <w:rsid w:val="00F222B8"/>
    <w:pPr>
      <w:spacing w:after="220"/>
      <w:jc w:val="left"/>
      <w:outlineLvl w:val="2"/>
    </w:pPr>
    <w:rPr>
      <w:i/>
      <w:spacing w:val="-2"/>
      <w:sz w:val="20"/>
    </w:rPr>
  </w:style>
  <w:style w:type="paragraph" w:styleId="Titre4">
    <w:name w:val="heading 4"/>
    <w:basedOn w:val="TitreBase"/>
    <w:next w:val="Corpsdetexte"/>
    <w:qFormat/>
    <w:rsid w:val="00F222B8"/>
    <w:pPr>
      <w:jc w:val="left"/>
      <w:outlineLvl w:val="3"/>
    </w:pPr>
    <w:rPr>
      <w:rFonts w:ascii="Arial Black" w:hAnsi="Arial Black"/>
      <w:sz w:val="20"/>
    </w:rPr>
  </w:style>
  <w:style w:type="paragraph" w:styleId="Titre5">
    <w:name w:val="heading 5"/>
    <w:basedOn w:val="TitreBase"/>
    <w:next w:val="Corpsdetexte"/>
    <w:qFormat/>
    <w:rsid w:val="00F222B8"/>
    <w:pPr>
      <w:spacing w:after="220"/>
      <w:jc w:val="left"/>
      <w:outlineLvl w:val="4"/>
    </w:pPr>
    <w:rPr>
      <w:rFonts w:ascii="Arial Black" w:hAnsi="Arial Black"/>
      <w:sz w:val="16"/>
    </w:rPr>
  </w:style>
  <w:style w:type="paragraph" w:styleId="Titre6">
    <w:name w:val="heading 6"/>
    <w:basedOn w:val="Normal"/>
    <w:next w:val="Normal"/>
    <w:qFormat/>
    <w:rsid w:val="00F222B8"/>
    <w:pPr>
      <w:spacing w:before="240" w:after="60"/>
      <w:outlineLvl w:val="5"/>
    </w:pPr>
    <w:rPr>
      <w:i/>
      <w:sz w:val="22"/>
    </w:rPr>
  </w:style>
  <w:style w:type="paragraph" w:styleId="Titre7">
    <w:name w:val="heading 7"/>
    <w:basedOn w:val="Normal"/>
    <w:next w:val="Normal"/>
    <w:qFormat/>
    <w:rsid w:val="00F222B8"/>
    <w:pPr>
      <w:keepNext/>
      <w:jc w:val="right"/>
      <w:outlineLvl w:val="6"/>
    </w:pPr>
    <w:rPr>
      <w:rFonts w:ascii="Arial Black" w:hAnsi="Arial Black"/>
      <w:b/>
      <w:sz w:val="28"/>
    </w:rPr>
  </w:style>
  <w:style w:type="paragraph" w:styleId="Titre8">
    <w:name w:val="heading 8"/>
    <w:basedOn w:val="Normal"/>
    <w:next w:val="Normal"/>
    <w:qFormat/>
    <w:rsid w:val="00F222B8"/>
    <w:pPr>
      <w:keepNext/>
      <w:outlineLvl w:val="7"/>
    </w:pPr>
    <w:rPr>
      <w:i/>
    </w:rPr>
  </w:style>
  <w:style w:type="paragraph" w:styleId="Titre9">
    <w:name w:val="heading 9"/>
    <w:basedOn w:val="Normal"/>
    <w:next w:val="Normal"/>
    <w:qFormat/>
    <w:rsid w:val="00F222B8"/>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rsid w:val="00F222B8"/>
    <w:pPr>
      <w:spacing w:after="220" w:line="220" w:lineRule="atLeast"/>
    </w:pPr>
    <w:rPr>
      <w:spacing w:val="-5"/>
    </w:rPr>
  </w:style>
  <w:style w:type="paragraph" w:customStyle="1" w:styleId="Russite">
    <w:name w:val="Réussite"/>
    <w:basedOn w:val="Corpsdetexte"/>
    <w:rsid w:val="00F222B8"/>
    <w:pPr>
      <w:numPr>
        <w:numId w:val="1"/>
      </w:numPr>
      <w:tabs>
        <w:tab w:val="clear" w:pos="360"/>
      </w:tabs>
      <w:spacing w:after="60"/>
      <w:ind w:left="0" w:firstLine="0"/>
    </w:pPr>
  </w:style>
  <w:style w:type="paragraph" w:customStyle="1" w:styleId="Adresse1">
    <w:name w:val="Adresse 1"/>
    <w:basedOn w:val="Normal"/>
    <w:rsid w:val="00F222B8"/>
    <w:pPr>
      <w:framePr w:w="2160" w:wrap="notBeside" w:vAnchor="page" w:hAnchor="page" w:x="8281" w:y="1153"/>
      <w:spacing w:line="160" w:lineRule="atLeast"/>
    </w:pPr>
    <w:rPr>
      <w:sz w:val="14"/>
    </w:rPr>
  </w:style>
  <w:style w:type="paragraph" w:customStyle="1" w:styleId="Adresse2">
    <w:name w:val="Adresse 2"/>
    <w:basedOn w:val="Normal"/>
    <w:rsid w:val="00F222B8"/>
    <w:pPr>
      <w:framePr w:w="2030" w:wrap="notBeside" w:vAnchor="page" w:hAnchor="page" w:x="6121" w:y="1153"/>
      <w:spacing w:line="160" w:lineRule="atLeast"/>
    </w:pPr>
    <w:rPr>
      <w:sz w:val="14"/>
    </w:rPr>
  </w:style>
  <w:style w:type="paragraph" w:styleId="Retraitcorpsdetexte">
    <w:name w:val="Body Text Indent"/>
    <w:basedOn w:val="Corpsdetexte"/>
    <w:rsid w:val="00F222B8"/>
    <w:pPr>
      <w:ind w:left="720"/>
    </w:pPr>
  </w:style>
  <w:style w:type="paragraph" w:styleId="Listepuces4">
    <w:name w:val="List Bullet 4"/>
    <w:basedOn w:val="Normal"/>
    <w:autoRedefine/>
    <w:rsid w:val="00F222B8"/>
    <w:pPr>
      <w:tabs>
        <w:tab w:val="num" w:pos="360"/>
      </w:tabs>
      <w:ind w:left="360" w:hanging="360"/>
    </w:pPr>
    <w:rPr>
      <w:snapToGrid w:val="0"/>
    </w:rPr>
  </w:style>
  <w:style w:type="paragraph" w:customStyle="1" w:styleId="Nomdesocit">
    <w:name w:val="Nom de société"/>
    <w:basedOn w:val="Normal"/>
    <w:next w:val="Normal"/>
    <w:autoRedefine/>
    <w:rsid w:val="00F222B8"/>
    <w:pPr>
      <w:ind w:left="-851"/>
    </w:pPr>
  </w:style>
  <w:style w:type="paragraph" w:customStyle="1" w:styleId="NomdesocitUn">
    <w:name w:val="Nom de société Un"/>
    <w:basedOn w:val="Nomdesocit"/>
    <w:next w:val="Normal"/>
    <w:autoRedefine/>
    <w:rsid w:val="00F222B8"/>
  </w:style>
  <w:style w:type="paragraph" w:styleId="Date">
    <w:name w:val="Date"/>
    <w:basedOn w:val="Corpsdetexte"/>
    <w:rsid w:val="00F222B8"/>
    <w:pPr>
      <w:keepNext/>
    </w:pPr>
  </w:style>
  <w:style w:type="paragraph" w:customStyle="1" w:styleId="tiquettededocument">
    <w:name w:val="Étiquette de document"/>
    <w:basedOn w:val="Normal"/>
    <w:next w:val="Normal"/>
    <w:rsid w:val="00F222B8"/>
    <w:pPr>
      <w:spacing w:after="220"/>
    </w:pPr>
    <w:rPr>
      <w:spacing w:val="-20"/>
      <w:sz w:val="48"/>
    </w:rPr>
  </w:style>
  <w:style w:type="character" w:styleId="Accentuation">
    <w:name w:val="Emphasis"/>
    <w:qFormat/>
    <w:rsid w:val="00F222B8"/>
    <w:rPr>
      <w:rFonts w:ascii="Arial Black" w:hAnsi="Arial Black"/>
      <w:spacing w:val="-8"/>
      <w:sz w:val="18"/>
    </w:rPr>
  </w:style>
  <w:style w:type="paragraph" w:customStyle="1" w:styleId="En-tteBase">
    <w:name w:val="En-tête (Base)"/>
    <w:basedOn w:val="Normal"/>
    <w:rsid w:val="00F222B8"/>
  </w:style>
  <w:style w:type="paragraph" w:styleId="Pieddepage">
    <w:name w:val="footer"/>
    <w:basedOn w:val="En-tteBase"/>
    <w:rsid w:val="00F222B8"/>
    <w:pPr>
      <w:tabs>
        <w:tab w:val="right" w:pos="6840"/>
      </w:tabs>
      <w:spacing w:line="220" w:lineRule="atLeast"/>
      <w:ind w:left="-2160"/>
    </w:pPr>
    <w:rPr>
      <w:b/>
    </w:rPr>
  </w:style>
  <w:style w:type="paragraph" w:styleId="En-tte">
    <w:name w:val="header"/>
    <w:basedOn w:val="En-tteBase"/>
    <w:link w:val="En-tteCar"/>
    <w:rsid w:val="00F222B8"/>
    <w:pPr>
      <w:spacing w:line="220" w:lineRule="atLeast"/>
      <w:ind w:left="-2160"/>
    </w:pPr>
  </w:style>
  <w:style w:type="paragraph" w:customStyle="1" w:styleId="TitreBase">
    <w:name w:val="Titre Base"/>
    <w:basedOn w:val="Corpsdetexte"/>
    <w:next w:val="Corpsdetexte"/>
    <w:rsid w:val="00F222B8"/>
    <w:pPr>
      <w:keepNext/>
      <w:keepLines/>
      <w:spacing w:after="0"/>
    </w:pPr>
    <w:rPr>
      <w:spacing w:val="-4"/>
    </w:rPr>
  </w:style>
  <w:style w:type="paragraph" w:customStyle="1" w:styleId="Organisme">
    <w:name w:val="Organisme"/>
    <w:basedOn w:val="Normal"/>
    <w:next w:val="Russite"/>
    <w:autoRedefine/>
    <w:rsid w:val="00F222B8"/>
    <w:pPr>
      <w:tabs>
        <w:tab w:val="left" w:pos="2160"/>
        <w:tab w:val="right" w:pos="6480"/>
      </w:tabs>
      <w:spacing w:before="240" w:after="60" w:line="220" w:lineRule="atLeast"/>
    </w:pPr>
  </w:style>
  <w:style w:type="character" w:customStyle="1" w:styleId="Poste">
    <w:name w:val="Poste"/>
    <w:basedOn w:val="Policepardfaut"/>
    <w:rsid w:val="00F222B8"/>
  </w:style>
  <w:style w:type="paragraph" w:customStyle="1" w:styleId="Intitulduposte">
    <w:name w:val="Intitulé du poste"/>
    <w:next w:val="Russite"/>
    <w:rsid w:val="00F222B8"/>
    <w:pPr>
      <w:spacing w:after="60" w:line="220" w:lineRule="atLeast"/>
    </w:pPr>
    <w:rPr>
      <w:rFonts w:ascii="Arial Black" w:hAnsi="Arial Black"/>
      <w:spacing w:val="-10"/>
      <w:lang w:val="en-US"/>
    </w:rPr>
  </w:style>
  <w:style w:type="character" w:customStyle="1" w:styleId="PrambuleAccentuation">
    <w:name w:val="Préambule (Accentuation)"/>
    <w:rsid w:val="00F222B8"/>
    <w:rPr>
      <w:rFonts w:ascii="Arial Black" w:hAnsi="Arial Black"/>
      <w:spacing w:val="-6"/>
      <w:sz w:val="18"/>
    </w:rPr>
  </w:style>
  <w:style w:type="paragraph" w:customStyle="1" w:styleId="Nom">
    <w:name w:val="Nom"/>
    <w:basedOn w:val="Normal"/>
    <w:next w:val="Normal"/>
    <w:rsid w:val="00F222B8"/>
    <w:pPr>
      <w:pBdr>
        <w:bottom w:val="single" w:sz="6" w:space="4" w:color="auto"/>
      </w:pBdr>
      <w:spacing w:line="240" w:lineRule="atLeast"/>
    </w:pPr>
    <w:rPr>
      <w:rFonts w:ascii="Arial Black" w:hAnsi="Arial Black"/>
      <w:spacing w:val="-35"/>
      <w:sz w:val="54"/>
    </w:rPr>
  </w:style>
  <w:style w:type="paragraph" w:customStyle="1" w:styleId="ATitredesection">
    <w:name w:val="A_Titre de section"/>
    <w:basedOn w:val="Normal"/>
    <w:next w:val="Normal"/>
    <w:autoRedefine/>
    <w:rsid w:val="00972024"/>
    <w:pPr>
      <w:ind w:left="-142"/>
      <w:jc w:val="left"/>
    </w:pPr>
    <w:rPr>
      <w:rFonts w:cs="Arial"/>
      <w:b/>
      <w:bCs/>
      <w:color w:val="4B0A78"/>
      <w:spacing w:val="-10"/>
      <w:sz w:val="28"/>
      <w:szCs w:val="28"/>
    </w:rPr>
  </w:style>
  <w:style w:type="paragraph" w:customStyle="1" w:styleId="Pasdetitre">
    <w:name w:val="Pas de titre"/>
    <w:basedOn w:val="ATitredesection"/>
    <w:rsid w:val="00F222B8"/>
  </w:style>
  <w:style w:type="paragraph" w:customStyle="1" w:styleId="Objectifs">
    <w:name w:val="Objectifs"/>
    <w:basedOn w:val="Normal"/>
    <w:next w:val="Corpsdetexte"/>
    <w:rsid w:val="00F222B8"/>
    <w:pPr>
      <w:spacing w:before="240" w:after="220" w:line="220" w:lineRule="atLeast"/>
    </w:pPr>
  </w:style>
  <w:style w:type="character" w:styleId="Numrodepage">
    <w:name w:val="page number"/>
    <w:rsid w:val="00F222B8"/>
    <w:rPr>
      <w:rFonts w:ascii="Arial" w:hAnsi="Arial"/>
      <w:sz w:val="18"/>
    </w:rPr>
  </w:style>
  <w:style w:type="paragraph" w:customStyle="1" w:styleId="Donnespersonnelles">
    <w:name w:val="Données personnelles"/>
    <w:basedOn w:val="Corpsdetexte"/>
    <w:rsid w:val="00F222B8"/>
    <w:pPr>
      <w:spacing w:after="120" w:line="240" w:lineRule="exact"/>
      <w:ind w:left="-1080" w:right="1080"/>
    </w:pPr>
    <w:rPr>
      <w:i/>
      <w:spacing w:val="0"/>
      <w:sz w:val="22"/>
    </w:rPr>
  </w:style>
  <w:style w:type="paragraph" w:customStyle="1" w:styleId="Informationspersonnelles">
    <w:name w:val="Informations personnelles"/>
    <w:basedOn w:val="Russite"/>
    <w:next w:val="Russite"/>
    <w:rsid w:val="00F222B8"/>
    <w:pPr>
      <w:numPr>
        <w:numId w:val="0"/>
      </w:numPr>
      <w:spacing w:before="240"/>
      <w:ind w:left="245" w:hanging="245"/>
    </w:pPr>
  </w:style>
  <w:style w:type="paragraph" w:customStyle="1" w:styleId="ASous-titredesection">
    <w:name w:val="A_Sous-titre de section"/>
    <w:basedOn w:val="ATitredesection"/>
    <w:next w:val="Normal"/>
    <w:rsid w:val="00F222B8"/>
    <w:rPr>
      <w:color w:val="000080"/>
      <w:spacing w:val="0"/>
    </w:rPr>
  </w:style>
  <w:style w:type="paragraph" w:styleId="Corpsdetexte2">
    <w:name w:val="Body Text 2"/>
    <w:basedOn w:val="Normal"/>
    <w:rsid w:val="00F222B8"/>
    <w:rPr>
      <w:snapToGrid w:val="0"/>
      <w:color w:val="000000"/>
    </w:rPr>
  </w:style>
  <w:style w:type="character" w:styleId="Lienhypertexte">
    <w:name w:val="Hyperlink"/>
    <w:rsid w:val="00F222B8"/>
    <w:rPr>
      <w:color w:val="0000FF"/>
      <w:u w:val="single"/>
    </w:rPr>
  </w:style>
  <w:style w:type="paragraph" w:customStyle="1" w:styleId="Aexprience">
    <w:name w:val="A_expérience"/>
    <w:basedOn w:val="Normal"/>
    <w:rsid w:val="00F222B8"/>
    <w:pPr>
      <w:spacing w:before="120"/>
    </w:pPr>
    <w:rPr>
      <w:b/>
      <w:snapToGrid w:val="0"/>
      <w:color w:val="000000"/>
    </w:rPr>
  </w:style>
  <w:style w:type="character" w:styleId="Lienhypertextesuivivisit">
    <w:name w:val="FollowedHyperlink"/>
    <w:rsid w:val="00F222B8"/>
    <w:rPr>
      <w:color w:val="800080"/>
      <w:u w:val="single"/>
    </w:rPr>
  </w:style>
  <w:style w:type="paragraph" w:customStyle="1" w:styleId="Aliste">
    <w:name w:val="A_liste"/>
    <w:basedOn w:val="Normal"/>
    <w:rsid w:val="00F222B8"/>
    <w:pPr>
      <w:numPr>
        <w:numId w:val="2"/>
      </w:numPr>
    </w:pPr>
    <w:rPr>
      <w:snapToGrid w:val="0"/>
    </w:rPr>
  </w:style>
  <w:style w:type="paragraph" w:styleId="Corpsdetexte3">
    <w:name w:val="Body Text 3"/>
    <w:basedOn w:val="Normal"/>
    <w:rsid w:val="00F222B8"/>
    <w:rPr>
      <w:i/>
    </w:rPr>
  </w:style>
  <w:style w:type="paragraph" w:styleId="Retraitcorpsdetexte2">
    <w:name w:val="Body Text Indent 2"/>
    <w:basedOn w:val="Normal"/>
    <w:rsid w:val="00F222B8"/>
    <w:pPr>
      <w:ind w:left="1277"/>
    </w:pPr>
  </w:style>
  <w:style w:type="paragraph" w:customStyle="1" w:styleId="AComptence">
    <w:name w:val="A_Compétence"/>
    <w:basedOn w:val="Aexprience"/>
    <w:rsid w:val="00F222B8"/>
    <w:pPr>
      <w:spacing w:after="120"/>
    </w:pPr>
  </w:style>
  <w:style w:type="paragraph" w:customStyle="1" w:styleId="ATypeintervention">
    <w:name w:val="A_Type intervention"/>
    <w:basedOn w:val="ASous-titredesection"/>
    <w:next w:val="Normal"/>
    <w:rsid w:val="00F222B8"/>
  </w:style>
  <w:style w:type="paragraph" w:customStyle="1" w:styleId="ATypecomptence">
    <w:name w:val="A_Type compétence"/>
    <w:basedOn w:val="ASous-titredesection"/>
    <w:next w:val="Normal"/>
    <w:rsid w:val="00F222B8"/>
    <w:pPr>
      <w:pBdr>
        <w:top w:val="single" w:sz="4" w:space="1" w:color="auto"/>
      </w:pBdr>
    </w:pPr>
  </w:style>
  <w:style w:type="paragraph" w:customStyle="1" w:styleId="AExempledemission">
    <w:name w:val="A_Exemple de mission"/>
    <w:basedOn w:val="AComptence"/>
    <w:next w:val="Normal"/>
    <w:rsid w:val="00F222B8"/>
  </w:style>
  <w:style w:type="paragraph" w:customStyle="1" w:styleId="nb">
    <w:name w:val="nb"/>
    <w:basedOn w:val="Normal"/>
    <w:rsid w:val="00F222B8"/>
    <w:pPr>
      <w:spacing w:line="240" w:lineRule="exact"/>
    </w:pPr>
    <w:rPr>
      <w:b/>
      <w:i/>
      <w:sz w:val="24"/>
    </w:rPr>
  </w:style>
  <w:style w:type="paragraph" w:styleId="Retraitcorpsdetexte3">
    <w:name w:val="Body Text Indent 3"/>
    <w:basedOn w:val="Normal"/>
    <w:rsid w:val="00F222B8"/>
    <w:pPr>
      <w:tabs>
        <w:tab w:val="num" w:pos="1"/>
      </w:tabs>
      <w:spacing w:line="240" w:lineRule="exact"/>
      <w:ind w:left="1"/>
      <w:jc w:val="left"/>
    </w:pPr>
    <w:rPr>
      <w:rFonts w:cs="Arial"/>
      <w:b/>
      <w:bCs/>
      <w:i/>
      <w:iCs/>
    </w:rPr>
  </w:style>
  <w:style w:type="paragraph" w:customStyle="1" w:styleId="Retraitcorpsdetexte31">
    <w:name w:val="Retrait corps de texte 31"/>
    <w:basedOn w:val="Normal"/>
    <w:rsid w:val="00F222B8"/>
    <w:pPr>
      <w:tabs>
        <w:tab w:val="left" w:pos="2127"/>
      </w:tabs>
      <w:overflowPunct w:val="0"/>
      <w:autoSpaceDE w:val="0"/>
      <w:autoSpaceDN w:val="0"/>
      <w:adjustRightInd w:val="0"/>
      <w:spacing w:line="240" w:lineRule="exact"/>
      <w:ind w:left="2127" w:hanging="2127"/>
      <w:textAlignment w:val="baseline"/>
    </w:pPr>
    <w:rPr>
      <w:rFonts w:ascii="Times New Roman" w:hAnsi="Times New Roman"/>
      <w:sz w:val="22"/>
      <w:szCs w:val="22"/>
    </w:rPr>
  </w:style>
  <w:style w:type="paragraph" w:customStyle="1" w:styleId="Retrait1">
    <w:name w:val="Retrait 1"/>
    <w:basedOn w:val="Normal"/>
    <w:rsid w:val="00260E0A"/>
    <w:pPr>
      <w:spacing w:before="30" w:after="30"/>
      <w:ind w:left="851" w:hanging="284"/>
      <w:jc w:val="left"/>
    </w:pPr>
    <w:rPr>
      <w:rFonts w:ascii="Times New Roman" w:hAnsi="Times New Roman"/>
      <w:sz w:val="24"/>
    </w:rPr>
  </w:style>
  <w:style w:type="paragraph" w:styleId="Textedebulles">
    <w:name w:val="Balloon Text"/>
    <w:basedOn w:val="Normal"/>
    <w:semiHidden/>
    <w:rsid w:val="00C76BFC"/>
    <w:rPr>
      <w:rFonts w:ascii="Tahoma" w:hAnsi="Tahoma" w:cs="Tahoma"/>
      <w:sz w:val="16"/>
      <w:szCs w:val="16"/>
    </w:rPr>
  </w:style>
  <w:style w:type="paragraph" w:customStyle="1" w:styleId="CarCarCarCarCarCarCarCar">
    <w:name w:val="Car Car Car Car Car Car Car Car"/>
    <w:basedOn w:val="Normal"/>
    <w:rsid w:val="00E65314"/>
    <w:pPr>
      <w:spacing w:after="160" w:line="240" w:lineRule="exact"/>
      <w:jc w:val="left"/>
    </w:pPr>
    <w:rPr>
      <w:rFonts w:ascii="Verdana" w:hAnsi="Verdana"/>
      <w:sz w:val="24"/>
      <w:szCs w:val="24"/>
    </w:rPr>
  </w:style>
  <w:style w:type="paragraph" w:customStyle="1" w:styleId="Lang-Form">
    <w:name w:val="Lang-Form"/>
    <w:basedOn w:val="Normal"/>
    <w:link w:val="Lang-FormCar"/>
    <w:qFormat/>
    <w:rsid w:val="00B90CC7"/>
    <w:pPr>
      <w:ind w:left="1410" w:hanging="1410"/>
    </w:pPr>
    <w:rPr>
      <w:rFonts w:ascii="Calibri" w:hAnsi="Calibri"/>
      <w:sz w:val="24"/>
      <w:szCs w:val="24"/>
    </w:rPr>
  </w:style>
  <w:style w:type="character" w:customStyle="1" w:styleId="Lang-FormCar">
    <w:name w:val="Lang-Form Car"/>
    <w:link w:val="Lang-Form"/>
    <w:rsid w:val="00B90CC7"/>
    <w:rPr>
      <w:rFonts w:ascii="Calibri" w:hAnsi="Calibri"/>
      <w:sz w:val="24"/>
      <w:szCs w:val="24"/>
      <w:lang w:val="fr-FR" w:eastAsia="fr-FR" w:bidi="ar-SA"/>
    </w:rPr>
  </w:style>
  <w:style w:type="paragraph" w:customStyle="1" w:styleId="CompTech">
    <w:name w:val="Comp Tech"/>
    <w:basedOn w:val="Normal"/>
    <w:rsid w:val="00040236"/>
    <w:pPr>
      <w:tabs>
        <w:tab w:val="left" w:pos="3402"/>
      </w:tabs>
      <w:jc w:val="left"/>
    </w:pPr>
    <w:rPr>
      <w:rFonts w:ascii="Calibri" w:hAnsi="Calibri"/>
      <w:sz w:val="22"/>
      <w:szCs w:val="22"/>
    </w:rPr>
  </w:style>
  <w:style w:type="paragraph" w:customStyle="1" w:styleId="Env">
    <w:name w:val="Env"/>
    <w:basedOn w:val="Normal"/>
    <w:link w:val="EnvCar"/>
    <w:qFormat/>
    <w:rsid w:val="0097638B"/>
    <w:rPr>
      <w:rFonts w:ascii="Calibri" w:hAnsi="Calibri"/>
      <w:i/>
      <w:sz w:val="24"/>
      <w:szCs w:val="24"/>
    </w:rPr>
  </w:style>
  <w:style w:type="character" w:customStyle="1" w:styleId="EnvCar">
    <w:name w:val="Env Car"/>
    <w:link w:val="Env"/>
    <w:rsid w:val="0097638B"/>
    <w:rPr>
      <w:rFonts w:ascii="Calibri" w:hAnsi="Calibri"/>
      <w:i/>
      <w:sz w:val="24"/>
      <w:szCs w:val="24"/>
      <w:lang w:val="fr-FR" w:eastAsia="fr-FR" w:bidi="ar-SA"/>
    </w:rPr>
  </w:style>
  <w:style w:type="paragraph" w:customStyle="1" w:styleId="NormalArial">
    <w:name w:val="Normal + Arial"/>
    <w:basedOn w:val="Normal"/>
    <w:rsid w:val="003D78E3"/>
    <w:pPr>
      <w:numPr>
        <w:numId w:val="3"/>
      </w:numPr>
      <w:ind w:right="-569"/>
      <w:jc w:val="left"/>
    </w:pPr>
  </w:style>
  <w:style w:type="paragraph" w:customStyle="1" w:styleId="Normaldocumenttableau">
    <w:name w:val="Normal document tableau"/>
    <w:basedOn w:val="Normal"/>
    <w:rsid w:val="00F46804"/>
    <w:pPr>
      <w:suppressAutoHyphens/>
      <w:spacing w:before="60" w:after="60"/>
      <w:jc w:val="left"/>
    </w:pPr>
    <w:rPr>
      <w:rFonts w:cs="Arial"/>
      <w:color w:val="000000"/>
      <w:szCs w:val="24"/>
      <w:lang w:eastAsia="ar-SA"/>
    </w:rPr>
  </w:style>
  <w:style w:type="character" w:customStyle="1" w:styleId="A0">
    <w:name w:val="A0"/>
    <w:rsid w:val="007868F3"/>
    <w:rPr>
      <w:rFonts w:ascii="Sansation" w:eastAsia="Sansation" w:hAnsi="Sansation" w:cs="Sansation"/>
      <w:color w:val="000000"/>
      <w:sz w:val="20"/>
      <w:szCs w:val="20"/>
    </w:rPr>
  </w:style>
  <w:style w:type="character" w:customStyle="1" w:styleId="A5">
    <w:name w:val="A5"/>
    <w:rsid w:val="007868F3"/>
    <w:rPr>
      <w:rFonts w:ascii="Sansation" w:eastAsia="Sansation" w:hAnsi="Sansation" w:cs="Sansation"/>
      <w:color w:val="000000"/>
      <w:sz w:val="18"/>
      <w:szCs w:val="18"/>
    </w:rPr>
  </w:style>
  <w:style w:type="character" w:customStyle="1" w:styleId="A4">
    <w:name w:val="A4"/>
    <w:rsid w:val="007868F3"/>
    <w:rPr>
      <w:rFonts w:ascii="Sansation" w:eastAsia="Sansation" w:hAnsi="Sansation" w:cs="Sansation"/>
      <w:b/>
      <w:bCs/>
      <w:color w:val="000000"/>
      <w:sz w:val="22"/>
      <w:szCs w:val="22"/>
    </w:rPr>
  </w:style>
  <w:style w:type="character" w:customStyle="1" w:styleId="A7">
    <w:name w:val="A7"/>
    <w:rsid w:val="007868F3"/>
    <w:rPr>
      <w:rFonts w:ascii="Sansation" w:eastAsia="Sansation" w:hAnsi="Sansation" w:cs="Sansation"/>
      <w:color w:val="000000"/>
      <w:sz w:val="18"/>
      <w:szCs w:val="18"/>
      <w:u w:val="single"/>
    </w:rPr>
  </w:style>
  <w:style w:type="character" w:customStyle="1" w:styleId="A6">
    <w:name w:val="A6"/>
    <w:rsid w:val="003738C0"/>
    <w:rPr>
      <w:rFonts w:ascii="Sansation" w:eastAsia="Sansation" w:hAnsi="Sansation" w:cs="Sansation"/>
      <w:color w:val="000000"/>
      <w:sz w:val="20"/>
      <w:szCs w:val="20"/>
      <w:u w:val="single"/>
    </w:rPr>
  </w:style>
  <w:style w:type="paragraph" w:styleId="Explorateurdedocuments">
    <w:name w:val="Document Map"/>
    <w:basedOn w:val="Normal"/>
    <w:semiHidden/>
    <w:rsid w:val="00035199"/>
    <w:pPr>
      <w:shd w:val="clear" w:color="auto" w:fill="000080"/>
    </w:pPr>
    <w:rPr>
      <w:rFonts w:ascii="Tahoma" w:hAnsi="Tahoma" w:cs="Tahoma"/>
    </w:rPr>
  </w:style>
  <w:style w:type="paragraph" w:customStyle="1" w:styleId="HCVNEWtextetitre">
    <w:name w:val="H CVNEW texte titre"/>
    <w:basedOn w:val="Normal"/>
    <w:link w:val="HCVNEWtextetitreCar"/>
    <w:rsid w:val="00695764"/>
    <w:pPr>
      <w:widowControl w:val="0"/>
      <w:tabs>
        <w:tab w:val="left" w:pos="2268"/>
      </w:tabs>
      <w:suppressAutoHyphens/>
      <w:spacing w:before="120" w:after="240" w:line="240" w:lineRule="exact"/>
      <w:ind w:left="284"/>
    </w:pPr>
    <w:rPr>
      <w:rFonts w:ascii="Calibri" w:eastAsia="Calibri" w:hAnsi="Calibri"/>
      <w:bCs/>
      <w:kern w:val="1"/>
      <w:szCs w:val="22"/>
      <w:lang w:eastAsia="ar-SA"/>
    </w:rPr>
  </w:style>
  <w:style w:type="paragraph" w:customStyle="1" w:styleId="HCVNEWpuce">
    <w:name w:val="H CVNEW puce"/>
    <w:basedOn w:val="Normal"/>
    <w:link w:val="HCVNEWpuceCar"/>
    <w:rsid w:val="00695764"/>
    <w:pPr>
      <w:tabs>
        <w:tab w:val="left" w:pos="992"/>
      </w:tabs>
      <w:suppressAutoHyphens/>
      <w:spacing w:before="120" w:line="200" w:lineRule="exact"/>
    </w:pPr>
    <w:rPr>
      <w:rFonts w:ascii="Calibri" w:eastAsia="Calibri" w:hAnsi="Calibri"/>
      <w:color w:val="000000"/>
      <w:lang w:eastAsia="ar-SA"/>
    </w:rPr>
  </w:style>
  <w:style w:type="paragraph" w:styleId="Paragraphedeliste">
    <w:name w:val="List Paragraph"/>
    <w:basedOn w:val="Normal"/>
    <w:link w:val="ParagraphedelisteCar"/>
    <w:uiPriority w:val="34"/>
    <w:qFormat/>
    <w:rsid w:val="00695764"/>
    <w:pPr>
      <w:spacing w:line="276" w:lineRule="auto"/>
      <w:ind w:left="720"/>
      <w:contextualSpacing/>
      <w:jc w:val="left"/>
    </w:pPr>
    <w:rPr>
      <w:rFonts w:ascii="BerkeleyOldEFOP-Book" w:eastAsia="BerkeleyOldEFOP-Book" w:hAnsi="BerkeleyOldEFOP-Book"/>
      <w:sz w:val="22"/>
      <w:szCs w:val="22"/>
      <w:lang w:eastAsia="en-US"/>
    </w:rPr>
  </w:style>
  <w:style w:type="paragraph" w:customStyle="1" w:styleId="HCVNEWFO-TECH">
    <w:name w:val="H CVNEW FO-TECH"/>
    <w:basedOn w:val="Normal"/>
    <w:link w:val="HCVNEWFO-TECHCar"/>
    <w:rsid w:val="00695764"/>
    <w:pPr>
      <w:widowControl w:val="0"/>
      <w:tabs>
        <w:tab w:val="left" w:pos="2268"/>
      </w:tabs>
      <w:suppressAutoHyphens/>
      <w:spacing w:before="120" w:after="120" w:line="200" w:lineRule="exact"/>
      <w:ind w:firstLine="397"/>
    </w:pPr>
    <w:rPr>
      <w:rFonts w:ascii="Calibri" w:eastAsia="Calibri" w:hAnsi="Calibri"/>
      <w:bCs/>
      <w:color w:val="000000"/>
      <w:kern w:val="1"/>
      <w:szCs w:val="22"/>
      <w:lang w:eastAsia="ar-SA"/>
    </w:rPr>
  </w:style>
  <w:style w:type="character" w:customStyle="1" w:styleId="WW8Num18z0">
    <w:name w:val="WW8Num18z0"/>
    <w:rsid w:val="006552D1"/>
    <w:rPr>
      <w:rFonts w:ascii="Symbol" w:hAnsi="Symbol"/>
    </w:rPr>
  </w:style>
  <w:style w:type="paragraph" w:customStyle="1" w:styleId="CVNormal">
    <w:name w:val="CV Normal"/>
    <w:basedOn w:val="Normal"/>
    <w:rsid w:val="00673218"/>
    <w:pPr>
      <w:suppressAutoHyphens/>
      <w:ind w:left="113" w:right="113"/>
      <w:jc w:val="left"/>
    </w:pPr>
    <w:rPr>
      <w:rFonts w:ascii="Arial Narrow" w:hAnsi="Arial Narrow"/>
      <w:lang w:eastAsia="ar-SA"/>
    </w:rPr>
  </w:style>
  <w:style w:type="paragraph" w:customStyle="1" w:styleId="Paragraphedeliste1">
    <w:name w:val="Paragraphe de liste1"/>
    <w:basedOn w:val="Normal"/>
    <w:rsid w:val="00D112E7"/>
    <w:pPr>
      <w:spacing w:after="200" w:line="276" w:lineRule="auto"/>
      <w:ind w:left="720"/>
      <w:jc w:val="left"/>
    </w:pPr>
    <w:rPr>
      <w:rFonts w:ascii="Calibri" w:hAnsi="Calibri"/>
      <w:sz w:val="22"/>
      <w:szCs w:val="22"/>
      <w:lang w:eastAsia="en-US"/>
    </w:rPr>
  </w:style>
  <w:style w:type="character" w:customStyle="1" w:styleId="En-tteCar">
    <w:name w:val="En-tête Car"/>
    <w:link w:val="En-tte"/>
    <w:rsid w:val="002A1272"/>
    <w:rPr>
      <w:rFonts w:ascii="Arial" w:hAnsi="Arial"/>
    </w:rPr>
  </w:style>
  <w:style w:type="character" w:customStyle="1" w:styleId="ParagraphedelisteCar">
    <w:name w:val="Paragraphe de liste Car"/>
    <w:basedOn w:val="Policepardfaut"/>
    <w:link w:val="Paragraphedeliste"/>
    <w:rsid w:val="000F7A53"/>
    <w:rPr>
      <w:rFonts w:ascii="BerkeleyOldEFOP-Book" w:eastAsia="BerkeleyOldEFOP-Book" w:hAnsi="BerkeleyOldEFOP-Book"/>
      <w:sz w:val="22"/>
      <w:szCs w:val="22"/>
      <w:lang w:eastAsia="en-US"/>
    </w:rPr>
  </w:style>
  <w:style w:type="paragraph" w:customStyle="1" w:styleId="HCVNEWSOCIETE">
    <w:name w:val="H CVNEW SOCIETE"/>
    <w:basedOn w:val="Normal"/>
    <w:next w:val="Normal"/>
    <w:rsid w:val="000F7A53"/>
    <w:pPr>
      <w:keepNext/>
      <w:pBdr>
        <w:top w:val="single" w:sz="6" w:space="3" w:color="FFFFFF"/>
        <w:left w:val="single" w:sz="6" w:space="4" w:color="FFFFFF"/>
        <w:bottom w:val="single" w:sz="8" w:space="3" w:color="991417"/>
        <w:right w:val="single" w:sz="6" w:space="0" w:color="FFFFFF"/>
      </w:pBdr>
      <w:tabs>
        <w:tab w:val="right" w:pos="9072"/>
      </w:tabs>
      <w:spacing w:before="360" w:after="240"/>
      <w:ind w:left="284"/>
      <w:jc w:val="left"/>
    </w:pPr>
    <w:rPr>
      <w:rFonts w:ascii="Gill Sans MT" w:hAnsi="Gill Sans MT"/>
      <w:b/>
      <w:color w:val="991417"/>
      <w:sz w:val="22"/>
    </w:rPr>
  </w:style>
  <w:style w:type="paragraph" w:customStyle="1" w:styleId="HCVNEWenvironnement">
    <w:name w:val="H CVNEW environnement"/>
    <w:basedOn w:val="Normal"/>
    <w:next w:val="HCVNEWSOCIETE"/>
    <w:rsid w:val="000F7A53"/>
    <w:pPr>
      <w:tabs>
        <w:tab w:val="left" w:pos="2127"/>
      </w:tabs>
      <w:spacing w:before="240"/>
      <w:ind w:firstLine="284"/>
    </w:pPr>
    <w:rPr>
      <w:rFonts w:ascii="Calibri" w:hAnsi="Calibri" w:cs="Calibri"/>
      <w:b/>
      <w:color w:val="61287A"/>
      <w:szCs w:val="22"/>
    </w:rPr>
  </w:style>
  <w:style w:type="character" w:customStyle="1" w:styleId="HCVNEWpuceCar">
    <w:name w:val="H CVNEW puce Car"/>
    <w:basedOn w:val="Policepardfaut"/>
    <w:link w:val="HCVNEWpuce"/>
    <w:rsid w:val="000F7A53"/>
    <w:rPr>
      <w:rFonts w:ascii="Calibri" w:eastAsia="Calibri" w:hAnsi="Calibri"/>
      <w:color w:val="000000"/>
      <w:lang w:eastAsia="ar-SA"/>
    </w:rPr>
  </w:style>
  <w:style w:type="character" w:customStyle="1" w:styleId="HCVNEWtextetitreCar">
    <w:name w:val="H CVNEW texte titre Car"/>
    <w:basedOn w:val="Policepardfaut"/>
    <w:link w:val="HCVNEWtextetitre"/>
    <w:rsid w:val="000F7A53"/>
    <w:rPr>
      <w:rFonts w:ascii="Calibri" w:eastAsia="Calibri" w:hAnsi="Calibri"/>
      <w:bCs/>
      <w:kern w:val="1"/>
      <w:szCs w:val="22"/>
      <w:lang w:eastAsia="ar-SA"/>
    </w:rPr>
  </w:style>
  <w:style w:type="character" w:customStyle="1" w:styleId="HCVNEWFO-TECHCar">
    <w:name w:val="H CVNEW FO-TECH Car"/>
    <w:basedOn w:val="Policepardfaut"/>
    <w:link w:val="HCVNEWFO-TECH"/>
    <w:rsid w:val="00740C5B"/>
    <w:rPr>
      <w:rFonts w:ascii="Calibri" w:eastAsia="Calibri" w:hAnsi="Calibri"/>
      <w:bCs/>
      <w:color w:val="000000"/>
      <w:kern w:val="1"/>
      <w:szCs w:val="22"/>
      <w:lang w:eastAsia="ar-SA"/>
    </w:rPr>
  </w:style>
  <w:style w:type="paragraph" w:customStyle="1" w:styleId="HCVNEWtexte">
    <w:name w:val="H CVNEW texte"/>
    <w:basedOn w:val="HCVNEWtextetitre"/>
    <w:next w:val="HCVNEWpuce"/>
    <w:link w:val="HCVNEWtexteCar"/>
    <w:qFormat/>
    <w:rsid w:val="00DE7818"/>
    <w:rPr>
      <w:rFonts w:asciiTheme="minorHAnsi" w:eastAsia="BerkeleyOldEFOP-Book" w:hAnsiTheme="minorHAnsi"/>
    </w:rPr>
  </w:style>
  <w:style w:type="character" w:customStyle="1" w:styleId="HCVNEWtexteCar">
    <w:name w:val="H CVNEW texte Car"/>
    <w:basedOn w:val="HCVNEWtextetitreCar"/>
    <w:link w:val="HCVNEWtexte"/>
    <w:rsid w:val="00DE7818"/>
    <w:rPr>
      <w:rFonts w:asciiTheme="minorHAnsi" w:eastAsia="BerkeleyOldEFOP-Book" w:hAnsiTheme="minorHAnsi"/>
      <w:bCs/>
      <w:kern w:val="1"/>
      <w:szCs w:val="22"/>
      <w:lang w:eastAsia="ar-SA"/>
    </w:rPr>
  </w:style>
  <w:style w:type="paragraph" w:customStyle="1" w:styleId="HCVNEWsoustitre">
    <w:name w:val="H CVNEW sous titre"/>
    <w:basedOn w:val="Normal"/>
    <w:next w:val="HCVNEWtextetitre"/>
    <w:link w:val="HCVNEWsoustitreCar"/>
    <w:rsid w:val="00BD6458"/>
    <w:pPr>
      <w:keepNext/>
      <w:tabs>
        <w:tab w:val="left" w:pos="1418"/>
        <w:tab w:val="right" w:pos="9072"/>
      </w:tabs>
      <w:spacing w:before="240"/>
      <w:ind w:left="1418" w:hanging="1134"/>
    </w:pPr>
    <w:rPr>
      <w:rFonts w:ascii="Gill Sans MT" w:hAnsi="Gill Sans MT"/>
      <w:b/>
      <w:color w:val="61287A"/>
    </w:rPr>
  </w:style>
  <w:style w:type="character" w:customStyle="1" w:styleId="HCVNEWsoustitreCar">
    <w:name w:val="H CVNEW sous titre Car"/>
    <w:basedOn w:val="Policepardfaut"/>
    <w:link w:val="HCVNEWsoustitre"/>
    <w:rsid w:val="00BD6458"/>
    <w:rPr>
      <w:rFonts w:ascii="Gill Sans MT" w:hAnsi="Gill Sans MT"/>
      <w:b/>
      <w:color w:val="61287A"/>
    </w:rPr>
  </w:style>
  <w:style w:type="paragraph" w:customStyle="1" w:styleId="CVTableauligneformation">
    <w:name w:val="CV Tableau ligne formation"/>
    <w:basedOn w:val="Normal"/>
    <w:rsid w:val="00426375"/>
    <w:pPr>
      <w:keepLines/>
      <w:jc w:val="left"/>
    </w:pPr>
    <w:rPr>
      <w:rFonts w:ascii="Times New Roman" w:hAnsi="Times New Roman"/>
      <w:bCs/>
      <w:sz w:val="24"/>
      <w:szCs w:val="24"/>
    </w:rPr>
  </w:style>
  <w:style w:type="paragraph" w:customStyle="1" w:styleId="CVEnvironnement">
    <w:name w:val="CV Environnement"/>
    <w:basedOn w:val="Normal"/>
    <w:rsid w:val="00C00931"/>
    <w:pPr>
      <w:keepNext/>
      <w:keepLines/>
      <w:spacing w:after="240"/>
    </w:pPr>
    <w:rPr>
      <w:rFonts w:ascii="Times New Roman" w:hAnsi="Times New Roman"/>
      <w:i/>
      <w:sz w:val="24"/>
      <w:szCs w:val="24"/>
    </w:rPr>
  </w:style>
  <w:style w:type="paragraph" w:customStyle="1" w:styleId="CVEnumration1">
    <w:name w:val="CV Enumération 1"/>
    <w:basedOn w:val="Normal"/>
    <w:rsid w:val="00F3233D"/>
    <w:pPr>
      <w:keepLines/>
      <w:numPr>
        <w:numId w:val="4"/>
      </w:numPr>
    </w:pPr>
    <w:rPr>
      <w:rFonts w:ascii="Times New Roman" w:hAnsi="Times New Roman"/>
      <w:bCs/>
      <w:sz w:val="24"/>
      <w:szCs w:val="24"/>
    </w:rPr>
  </w:style>
  <w:style w:type="paragraph" w:customStyle="1" w:styleId="DescriptionMission">
    <w:name w:val="DescriptionMission"/>
    <w:basedOn w:val="Normal"/>
    <w:rsid w:val="009813C6"/>
    <w:pPr>
      <w:tabs>
        <w:tab w:val="left" w:pos="227"/>
        <w:tab w:val="left" w:pos="615"/>
      </w:tabs>
      <w:suppressAutoHyphens/>
      <w:overflowPunct w:val="0"/>
      <w:autoSpaceDE w:val="0"/>
      <w:spacing w:before="57"/>
      <w:ind w:left="300"/>
      <w:jc w:val="left"/>
      <w:textAlignment w:val="baseline"/>
    </w:pPr>
    <w:rPr>
      <w:sz w:val="22"/>
      <w:szCs w:val="24"/>
      <w:lang w:eastAsia="ar-SA"/>
    </w:rPr>
  </w:style>
  <w:style w:type="paragraph" w:customStyle="1" w:styleId="CVDure">
    <w:name w:val="CV Durée"/>
    <w:basedOn w:val="Normal"/>
    <w:rsid w:val="000A6BE2"/>
    <w:pPr>
      <w:keepNext/>
      <w:keepLines/>
    </w:pPr>
    <w:rPr>
      <w:rFonts w:ascii="Times New Roman" w:hAnsi="Times New Roman"/>
      <w:bCs/>
      <w:i/>
      <w:sz w:val="24"/>
      <w:szCs w:val="24"/>
    </w:rPr>
  </w:style>
  <w:style w:type="paragraph" w:customStyle="1" w:styleId="CharChar1CharCharCharCharCharCharChar">
    <w:name w:val="Char Char1 Char Char Char Char Char Char Char"/>
    <w:basedOn w:val="Normal"/>
    <w:rsid w:val="00695DA6"/>
    <w:pPr>
      <w:spacing w:after="160" w:line="240" w:lineRule="exact"/>
      <w:jc w:val="left"/>
    </w:pPr>
    <w:rPr>
      <w:rFonts w:ascii="Verdana" w:hAnsi="Verdana"/>
      <w:sz w:val="24"/>
      <w:szCs w:val="24"/>
    </w:rPr>
  </w:style>
  <w:style w:type="character" w:customStyle="1" w:styleId="CVexpriencessignificativessocit">
    <w:name w:val="CV expériences significatives (société)"/>
    <w:rsid w:val="00695DA6"/>
    <w:rPr>
      <w:caps/>
      <w:color w:val="0061AA"/>
      <w:kern w:val="28"/>
      <w:sz w:val="28"/>
    </w:rPr>
  </w:style>
  <w:style w:type="paragraph" w:customStyle="1" w:styleId="Norm">
    <w:name w:val="Norm"/>
    <w:basedOn w:val="Normal"/>
    <w:rsid w:val="00695DA6"/>
    <w:pPr>
      <w:ind w:left="-141"/>
      <w:jc w:val="left"/>
    </w:pPr>
    <w:rPr>
      <w:color w:val="808080"/>
    </w:rPr>
  </w:style>
  <w:style w:type="paragraph" w:customStyle="1" w:styleId="CharChar1CharCharCharCharCharCharChar1">
    <w:name w:val="Char Char1 Char Char Char Char Char Char Char1"/>
    <w:basedOn w:val="Normal"/>
    <w:rsid w:val="00897568"/>
    <w:pPr>
      <w:spacing w:after="160" w:line="240" w:lineRule="exact"/>
      <w:jc w:val="left"/>
    </w:pPr>
    <w:rPr>
      <w:rFonts w:ascii="Verdana" w:hAnsi="Verdana"/>
      <w:sz w:val="24"/>
      <w:szCs w:val="24"/>
    </w:rPr>
  </w:style>
  <w:style w:type="paragraph" w:customStyle="1" w:styleId="Notm">
    <w:name w:val="Notm"/>
    <w:basedOn w:val="Normal"/>
    <w:rsid w:val="00C57EB2"/>
    <w:rPr>
      <w:lang w:val="en-US"/>
    </w:rPr>
  </w:style>
  <w:style w:type="paragraph" w:styleId="Listepuces">
    <w:name w:val="List Bullet"/>
    <w:basedOn w:val="Normal"/>
    <w:unhideWhenUsed/>
    <w:rsid w:val="004A3563"/>
    <w:pPr>
      <w:numPr>
        <w:numId w:val="5"/>
      </w:numPr>
      <w:contextualSpacing/>
    </w:pPr>
  </w:style>
  <w:style w:type="paragraph" w:customStyle="1" w:styleId="CVTitrethme">
    <w:name w:val="CV Titre thème"/>
    <w:basedOn w:val="Normal"/>
    <w:rsid w:val="004A3563"/>
    <w:pPr>
      <w:pBdr>
        <w:bottom w:val="single" w:sz="12" w:space="0" w:color="666699"/>
      </w:pBdr>
      <w:spacing w:before="480"/>
      <w:jc w:val="left"/>
    </w:pPr>
    <w:rPr>
      <w:rFonts w:ascii="Arial Narrow" w:hAnsi="Arial Narrow" w:cs="Arial"/>
      <w:b/>
      <w:color w:val="993366"/>
      <w:sz w:val="24"/>
      <w:szCs w:val="22"/>
    </w:rPr>
  </w:style>
  <w:style w:type="character" w:customStyle="1" w:styleId="Normalenexergue">
    <w:name w:val="Normal en exergue"/>
    <w:rsid w:val="006336A8"/>
    <w:rPr>
      <w:b/>
      <w:i/>
      <w:color w:val="666699"/>
      <w:sz w:val="24"/>
      <w:szCs w:val="24"/>
    </w:rPr>
  </w:style>
  <w:style w:type="paragraph" w:customStyle="1" w:styleId="CVDomainesdecomptence">
    <w:name w:val="CV Domaines de compétence"/>
    <w:basedOn w:val="Normal"/>
    <w:rsid w:val="0028711B"/>
    <w:pPr>
      <w:jc w:val="center"/>
    </w:pPr>
    <w:rPr>
      <w:rFonts w:ascii="Arial Narrow" w:hAnsi="Arial Narrow" w:cs="Arial"/>
      <w:b/>
      <w:i/>
      <w:iCs/>
      <w:color w:val="666699"/>
      <w:sz w:val="28"/>
      <w:szCs w:val="22"/>
    </w:rPr>
  </w:style>
  <w:style w:type="paragraph" w:customStyle="1" w:styleId="Normalindent">
    <w:name w:val="Normal indenté"/>
    <w:basedOn w:val="Normal"/>
    <w:rsid w:val="008256C8"/>
    <w:pPr>
      <w:spacing w:before="120"/>
      <w:ind w:left="567"/>
    </w:pPr>
    <w:rPr>
      <w:rFonts w:ascii="Arial Narrow" w:hAnsi="Arial Narrow" w:cs="Arial"/>
      <w:sz w:val="22"/>
      <w:szCs w:val="22"/>
    </w:rPr>
  </w:style>
  <w:style w:type="paragraph" w:customStyle="1" w:styleId="CVTitreExprience">
    <w:name w:val="CV Titre Expérience"/>
    <w:basedOn w:val="Normal"/>
    <w:rsid w:val="00510155"/>
    <w:pPr>
      <w:shd w:val="clear" w:color="FFCC00" w:fill="666699"/>
      <w:tabs>
        <w:tab w:val="left" w:pos="2268"/>
      </w:tabs>
      <w:spacing w:before="120"/>
      <w:jc w:val="left"/>
    </w:pPr>
    <w:rPr>
      <w:rFonts w:ascii="Arial Narrow" w:hAnsi="Arial Narrow" w:cs="Arial"/>
      <w:color w:val="FFFFFF"/>
      <w:sz w:val="22"/>
      <w:szCs w:val="22"/>
    </w:rPr>
  </w:style>
  <w:style w:type="paragraph" w:customStyle="1" w:styleId="Default">
    <w:name w:val="Default"/>
    <w:rsid w:val="00B32B1A"/>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4777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2" ma:contentTypeDescription="Crée un document." ma:contentTypeScope="" ma:versionID="aebcd07956381cee842e48e46e8a1b32">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2b65f8daa905b1e4b6dd5679da6cadba"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72AB4-FDB2-48D2-9730-965A92F2FE5A}">
  <ds:schemaRefs>
    <ds:schemaRef ds:uri="http://schemas.microsoft.com/office/2006/metadata/properties"/>
    <ds:schemaRef ds:uri="http://schemas.microsoft.com/office/infopath/2007/PartnerControls"/>
    <ds:schemaRef ds:uri="8e7ffb62-9b02-4cd7-bd80-9a8fdab00e64"/>
    <ds:schemaRef ds:uri="33eab758-cdaa-486d-9a1a-7ec748ea8260"/>
  </ds:schemaRefs>
</ds:datastoreItem>
</file>

<file path=customXml/itemProps2.xml><?xml version="1.0" encoding="utf-8"?>
<ds:datastoreItem xmlns:ds="http://schemas.openxmlformats.org/officeDocument/2006/customXml" ds:itemID="{60515844-8966-47A9-B758-9457995B7793}">
  <ds:schemaRefs>
    <ds:schemaRef ds:uri="http://schemas.microsoft.com/sharepoint/v3/contenttype/forms"/>
  </ds:schemaRefs>
</ds:datastoreItem>
</file>

<file path=customXml/itemProps3.xml><?xml version="1.0" encoding="utf-8"?>
<ds:datastoreItem xmlns:ds="http://schemas.openxmlformats.org/officeDocument/2006/customXml" ds:itemID="{CB0D278D-56CC-441E-86EC-EDB64A769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ab758-cdaa-486d-9a1a-7ec748ea8260"/>
    <ds:schemaRef ds:uri="8e7ffb62-9b02-4cd7-bd80-9a8fdab00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5DDE59-C876-4442-BC32-DC922B81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2824</Words>
  <Characters>15533</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Curriculum Vitae de style professionnel</vt:lpstr>
    </vt:vector>
  </TitlesOfParts>
  <Company>TILENCIA</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compétences ELA - PMO plan de charge</dc:title>
  <dc:subject>Mission Administration du plan de charge - Gouvernance SI</dc:subject>
  <dc:creator>TILENCIA</dc:creator>
  <cp:keywords>ELA, PMO, plan de charge, Clarity PPM, pilotage budgétaire</cp:keywords>
  <dc:description/>
  <cp:lastModifiedBy>David Vandenborght</cp:lastModifiedBy>
  <cp:revision>11</cp:revision>
  <cp:lastPrinted>2023-02-22T10:09:00Z</cp:lastPrinted>
  <dcterms:created xsi:type="dcterms:W3CDTF">2026-07-30T11:26:00Z</dcterms:created>
  <dcterms:modified xsi:type="dcterms:W3CDTF">2026-07-31T15:01:00Z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