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414AE" w14:textId="0B0DF5FB" w:rsidR="00027FBF" w:rsidRDefault="00000000">
      <w:pPr>
        <w:keepLines/>
        <w:spacing w:after="10" w:line="240" w:lineRule="auto"/>
        <w:jc w:val="center"/>
        <w:rPr>
          <w:b/>
          <w:color w:val="595959"/>
          <w:sz w:val="28"/>
        </w:rPr>
      </w:pPr>
      <w:r>
        <w:rPr>
          <w:b/>
          <w:color w:val="595959"/>
          <w:sz w:val="28"/>
        </w:rPr>
        <w:t>DIRECTEUR DE PROGRAMME IA &amp; CYBERSÉCURITÉ</w:t>
      </w:r>
    </w:p>
    <w:p w14:paraId="0B1F9DD6" w14:textId="585F6DE3" w:rsidR="00027FBF" w:rsidRDefault="00000000">
      <w:pPr>
        <w:keepNext/>
        <w:keepLines/>
        <w:spacing w:after="10" w:line="240" w:lineRule="auto"/>
        <w:jc w:val="center"/>
        <w:rPr>
          <w:b/>
          <w:color w:val="595959"/>
          <w:sz w:val="28"/>
        </w:rPr>
      </w:pPr>
      <w:r>
        <w:rPr>
          <w:color w:val="595959"/>
          <w:sz w:val="18"/>
        </w:rPr>
        <w:t>RSSI de transition • Transformation SOC • Vulnérabilités • Gestion de crise • IA appliquée à la cyberdéfense</w:t>
      </w:r>
    </w:p>
    <w:p w14:paraId="18DC94CF" w14:textId="77777777" w:rsidR="00027FBF" w:rsidRDefault="00027FBF">
      <w:pPr>
        <w:keepLines/>
        <w:spacing w:after="10" w:line="240" w:lineRule="auto"/>
        <w:jc w:val="center"/>
      </w:pPr>
    </w:p>
    <w:p w14:paraId="4B73E0BA" w14:textId="53502C88" w:rsidR="00027FBF" w:rsidRDefault="00000000">
      <w:pPr>
        <w:keepNext/>
        <w:keepLines/>
        <w:spacing w:after="64" w:line="240" w:lineRule="auto"/>
        <w:rPr>
          <w:sz w:val="18"/>
          <w:szCs w:val="18"/>
        </w:rPr>
      </w:pPr>
      <w:r>
        <w:rPr>
          <w:i/>
          <w:color w:val="707070"/>
          <w:sz w:val="18"/>
        </w:rPr>
        <w:t>Directeur de programme et RSSI de transition, LFO dispose de plus de 30 ans d’expérience en transformation SI, dont plus de 15 ans en cybersécurité. Il pilote des programmes complexes associant SOC, gestion des vulnérabilités et du patching, résilience, gestion de crise et cas d’usage IA/GenAI, avec une communication adaptée aux équipes techniques, aux CODIR et aux COMEX. Ses interventions alternent missions de transformation longue durée et missions d’audit ou de cadrage ciblées. Certaines références et informations de périmètre sont volontairement anonymisées en application d’accords de confidentialité.</w:t>
      </w:r>
    </w:p>
    <w:p w14:paraId="319B76FC" w14:textId="77777777" w:rsidR="00027FBF" w:rsidRDefault="00027FBF">
      <w:pPr>
        <w:keepNext/>
        <w:keepLines/>
        <w:spacing w:before="50" w:after="16" w:line="240" w:lineRule="auto"/>
        <w:rPr>
          <w:b/>
          <w:color w:val="C00000"/>
          <w:sz w:val="20"/>
          <w:szCs w:val="20"/>
        </w:rPr>
      </w:pPr>
    </w:p>
    <w:p w14:paraId="3B20B232" w14:textId="54D2AF49" w:rsidR="00027FBF" w:rsidRDefault="00000000">
      <w:pPr>
        <w:keepNext/>
        <w:keepLines/>
        <w:spacing w:before="50" w:after="16" w:line="240" w:lineRule="auto"/>
        <w:rPr>
          <w:b/>
          <w:color w:val="C00000"/>
          <w:sz w:val="20"/>
          <w:szCs w:val="20"/>
        </w:rPr>
      </w:pPr>
      <w:r>
        <w:rPr>
          <w:b/>
          <w:color w:val="C00000"/>
          <w:sz w:val="20"/>
          <w:szCs w:val="20"/>
        </w:rPr>
        <w:t>POINTS CLÉS POUR LA MISSION</w:t>
      </w:r>
    </w:p>
    <w:p w14:paraId="5F21271D" w14:textId="77777777" w:rsidR="00027FBF" w:rsidRDefault="00000000">
      <w:pPr>
        <w:keepLines/>
        <w:spacing w:after="3" w:line="240" w:lineRule="auto"/>
        <w:ind w:left="230" w:hanging="144"/>
        <w:rPr>
          <w:sz w:val="18"/>
          <w:szCs w:val="18"/>
        </w:rPr>
      </w:pPr>
      <w:r>
        <w:rPr>
          <w:sz w:val="18"/>
        </w:rPr>
        <w:t>▪ Plus de 30 ans d’expérience en direction de programmes complexes et plus de 15 ans en cybersécurité, dans l’assurance, la banque, l’énergie, l’industrie et les environnements critiques.</w:t>
      </w:r>
    </w:p>
    <w:p w14:paraId="4D48A3CF" w14:textId="77777777" w:rsidR="00027FBF" w:rsidRDefault="00027FBF">
      <w:pPr>
        <w:keepLines/>
        <w:spacing w:after="3" w:line="240" w:lineRule="auto"/>
        <w:ind w:left="230" w:hanging="144"/>
        <w:rPr>
          <w:sz w:val="18"/>
          <w:szCs w:val="18"/>
        </w:rPr>
      </w:pPr>
    </w:p>
    <w:p w14:paraId="15E66BC3" w14:textId="77777777" w:rsidR="00027FBF" w:rsidRDefault="00000000">
      <w:pPr>
        <w:keepLines/>
        <w:spacing w:after="3" w:line="240" w:lineRule="auto"/>
        <w:ind w:left="230" w:hanging="144"/>
        <w:rPr>
          <w:sz w:val="18"/>
          <w:szCs w:val="18"/>
        </w:rPr>
      </w:pPr>
      <w:r>
        <w:rPr>
          <w:sz w:val="18"/>
        </w:rPr>
        <w:t>▪ Pilotage de SOC en build, transformation, passage en exploitation et gouvernance : SIEM, SOAR, XDR, Threat Intelligence, journalisation, détection, escalade et amélioration continue.</w:t>
      </w:r>
    </w:p>
    <w:p w14:paraId="6B34AFBF" w14:textId="77777777" w:rsidR="00027FBF" w:rsidRDefault="00027FBF">
      <w:pPr>
        <w:keepLines/>
        <w:spacing w:after="3" w:line="240" w:lineRule="auto"/>
        <w:ind w:left="230" w:hanging="144"/>
        <w:rPr>
          <w:sz w:val="18"/>
          <w:szCs w:val="18"/>
        </w:rPr>
      </w:pPr>
    </w:p>
    <w:p w14:paraId="43C0E4B7" w14:textId="3ADEA5B3" w:rsidR="00027FBF" w:rsidRDefault="00000000">
      <w:pPr>
        <w:keepLines/>
        <w:spacing w:after="3" w:line="240" w:lineRule="auto"/>
        <w:ind w:left="230" w:hanging="144"/>
        <w:rPr>
          <w:sz w:val="18"/>
          <w:szCs w:val="18"/>
        </w:rPr>
      </w:pPr>
      <w:r>
        <w:rPr>
          <w:sz w:val="18"/>
        </w:rPr>
        <w:t>▪ Gestion des expositions et des vulnérabilités : cartographie des actifs et services exposés, priorisation selon la criticité métier, patch management, mesures compensatoires et pilotage des remédiations.</w:t>
      </w:r>
    </w:p>
    <w:p w14:paraId="482AAB16" w14:textId="77777777" w:rsidR="00027FBF" w:rsidRDefault="00027FBF">
      <w:pPr>
        <w:keepLines/>
        <w:spacing w:after="3" w:line="240" w:lineRule="auto"/>
        <w:ind w:left="230" w:hanging="144"/>
        <w:rPr>
          <w:sz w:val="18"/>
          <w:szCs w:val="18"/>
        </w:rPr>
      </w:pPr>
    </w:p>
    <w:p w14:paraId="5A132841" w14:textId="77777777" w:rsidR="00027FBF" w:rsidRDefault="00000000">
      <w:pPr>
        <w:keepLines/>
        <w:spacing w:after="3" w:line="240" w:lineRule="auto"/>
        <w:ind w:left="230" w:hanging="144"/>
        <w:rPr>
          <w:sz w:val="18"/>
          <w:szCs w:val="18"/>
        </w:rPr>
      </w:pPr>
      <w:r>
        <w:rPr>
          <w:sz w:val="18"/>
        </w:rPr>
        <w:t>▪ Pilotage de cas d’usage IA/GenAI appliqués à la cybersécurité : détection, qualification, triage, analyse de vulnérabilités, automatisation, garde-fous et supervision humaine.</w:t>
      </w:r>
    </w:p>
    <w:p w14:paraId="156F83BC" w14:textId="77777777" w:rsidR="00027FBF" w:rsidRDefault="00027FBF">
      <w:pPr>
        <w:keepLines/>
        <w:spacing w:after="3" w:line="240" w:lineRule="auto"/>
        <w:ind w:left="230" w:hanging="144"/>
        <w:rPr>
          <w:sz w:val="18"/>
          <w:szCs w:val="18"/>
        </w:rPr>
      </w:pPr>
    </w:p>
    <w:p w14:paraId="2BFC3568" w14:textId="77777777" w:rsidR="00027FBF" w:rsidRDefault="00000000">
      <w:pPr>
        <w:keepLines/>
        <w:spacing w:after="3" w:line="240" w:lineRule="auto"/>
        <w:ind w:left="230" w:hanging="144"/>
        <w:rPr>
          <w:sz w:val="18"/>
          <w:szCs w:val="18"/>
        </w:rPr>
      </w:pPr>
      <w:r>
        <w:rPr>
          <w:sz w:val="18"/>
        </w:rPr>
        <w:t>▪ Direction de crises cyber : coordination multi-acteurs, arbitrages, communication, RETEX et reporting auprès des Directions Générales, CODIR/COMEX, autorités et régulateurs.</w:t>
      </w:r>
    </w:p>
    <w:p w14:paraId="1B72A640" w14:textId="77777777" w:rsidR="00027FBF" w:rsidRDefault="00027FBF">
      <w:pPr>
        <w:keepLines/>
        <w:spacing w:after="3" w:line="240" w:lineRule="auto"/>
        <w:ind w:left="230" w:hanging="144"/>
        <w:rPr>
          <w:sz w:val="18"/>
          <w:szCs w:val="18"/>
        </w:rPr>
      </w:pPr>
    </w:p>
    <w:p w14:paraId="70597010" w14:textId="77777777" w:rsidR="00027FBF" w:rsidRDefault="00027FBF">
      <w:pPr>
        <w:keepLines/>
        <w:spacing w:after="3" w:line="240" w:lineRule="auto"/>
        <w:ind w:left="230" w:hanging="144"/>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75"/>
        <w:gridCol w:w="5175"/>
      </w:tblGrid>
      <w:tr w:rsidR="00027FBF" w14:paraId="4DA04447" w14:textId="77777777">
        <w:tc>
          <w:tcPr>
            <w:tcW w:w="5175" w:type="dxa"/>
            <w:shd w:val="clear" w:color="auto" w:fill="C00000"/>
            <w:tcMar>
              <w:top w:w="35" w:type="dxa"/>
              <w:left w:w="95" w:type="dxa"/>
              <w:bottom w:w="35" w:type="dxa"/>
              <w:right w:w="75" w:type="dxa"/>
            </w:tcMar>
            <w:vAlign w:val="center"/>
          </w:tcPr>
          <w:p w14:paraId="0599B0ED" w14:textId="77777777" w:rsidR="00027FBF" w:rsidRDefault="00000000">
            <w:pPr>
              <w:keepLines/>
              <w:spacing w:after="0" w:line="240" w:lineRule="auto"/>
            </w:pPr>
            <w:r>
              <w:rPr>
                <w:b/>
                <w:color w:val="FFFFFF"/>
                <w:sz w:val="18"/>
              </w:rPr>
              <w:t>DOSSIER DE COMPÉTENCES SYNTHÉTIQUE</w:t>
            </w:r>
          </w:p>
        </w:tc>
        <w:tc>
          <w:tcPr>
            <w:tcW w:w="5175" w:type="dxa"/>
            <w:tcBorders>
              <w:bottom w:val="single" w:sz="18" w:space="0" w:color="C00000"/>
            </w:tcBorders>
          </w:tcPr>
          <w:p w14:paraId="742514EA" w14:textId="77777777" w:rsidR="00027FBF" w:rsidRDefault="00027FBF"/>
        </w:tc>
      </w:tr>
    </w:tbl>
    <w:p w14:paraId="4DF0283D" w14:textId="77777777" w:rsidR="00F72CF0" w:rsidRDefault="00F72CF0">
      <w:pPr>
        <w:keepLines/>
        <w:spacing w:after="4" w:line="240" w:lineRule="auto"/>
        <w:rPr>
          <w:b/>
          <w:sz w:val="18"/>
        </w:rPr>
      </w:pPr>
    </w:p>
    <w:p w14:paraId="00150A44" w14:textId="17525E16" w:rsidR="00027FBF" w:rsidRDefault="00000000">
      <w:pPr>
        <w:keepLines/>
        <w:spacing w:after="4" w:line="240" w:lineRule="auto"/>
        <w:rPr>
          <w:sz w:val="18"/>
          <w:szCs w:val="18"/>
          <w:lang w:val="fr-FR"/>
        </w:rPr>
      </w:pPr>
      <w:r>
        <w:rPr>
          <w:b/>
          <w:sz w:val="18"/>
        </w:rPr>
        <w:t xml:space="preserve">Banque - </w:t>
      </w:r>
      <w:proofErr w:type="spellStart"/>
      <w:r>
        <w:rPr>
          <w:b/>
          <w:sz w:val="18"/>
        </w:rPr>
        <w:t>environnements</w:t>
      </w:r>
      <w:proofErr w:type="spellEnd"/>
      <w:r>
        <w:rPr>
          <w:b/>
          <w:sz w:val="18"/>
        </w:rPr>
        <w:t xml:space="preserve"> </w:t>
      </w:r>
      <w:proofErr w:type="gramStart"/>
      <w:r>
        <w:rPr>
          <w:b/>
          <w:sz w:val="18"/>
        </w:rPr>
        <w:t>critiques</w:t>
      </w:r>
      <w:r>
        <w:rPr>
          <w:sz w:val="18"/>
        </w:rPr>
        <w:t xml:space="preserve"> :</w:t>
      </w:r>
      <w:proofErr w:type="gramEnd"/>
      <w:r>
        <w:rPr>
          <w:sz w:val="18"/>
        </w:rPr>
        <w:t xml:space="preserve"> transformation et gouvernance de SOC, SIEM, Threat Intelligence, journalisation, corrélation, capacités de détection, gestion de crise, PRA et pilotage du RUN d’applications de salles de marchés.</w:t>
      </w:r>
    </w:p>
    <w:p w14:paraId="3BA6D287" w14:textId="77777777" w:rsidR="00027FBF" w:rsidRDefault="00027FBF">
      <w:pPr>
        <w:keepLines/>
        <w:spacing w:after="4" w:line="240" w:lineRule="auto"/>
        <w:rPr>
          <w:sz w:val="18"/>
          <w:szCs w:val="18"/>
          <w:lang w:val="fr-FR"/>
        </w:rPr>
      </w:pPr>
    </w:p>
    <w:p w14:paraId="09E751D9" w14:textId="77777777" w:rsidR="00027FBF" w:rsidRDefault="00000000">
      <w:pPr>
        <w:keepLines/>
        <w:spacing w:after="4" w:line="240" w:lineRule="auto"/>
        <w:rPr>
          <w:sz w:val="18"/>
          <w:szCs w:val="18"/>
          <w:lang w:val="fr-FR"/>
        </w:rPr>
      </w:pPr>
      <w:r>
        <w:rPr>
          <w:b/>
          <w:sz w:val="18"/>
        </w:rPr>
        <w:t>Assurance - gouvernance et résilience</w:t>
      </w:r>
      <w:r>
        <w:rPr>
          <w:sz w:val="18"/>
        </w:rPr>
        <w:t xml:space="preserve"> : gouvernance SOC, build SIEM, KPI et escalade, Security by Design, coordination de filière SSI, programmes GRC/DORA, plans de remédiation et reporting auprès du COMEX et du Conseil d’administration.</w:t>
      </w:r>
    </w:p>
    <w:p w14:paraId="0A3BAC48" w14:textId="77777777" w:rsidR="00027FBF" w:rsidRDefault="00027FBF">
      <w:pPr>
        <w:keepLines/>
        <w:spacing w:after="4" w:line="240" w:lineRule="auto"/>
        <w:rPr>
          <w:sz w:val="18"/>
          <w:szCs w:val="18"/>
          <w:lang w:val="fr-FR"/>
        </w:rPr>
      </w:pPr>
    </w:p>
    <w:p w14:paraId="2E4CED58" w14:textId="77777777" w:rsidR="00027FBF" w:rsidRDefault="00000000">
      <w:pPr>
        <w:keepLines/>
        <w:spacing w:after="4" w:line="240" w:lineRule="auto"/>
        <w:rPr>
          <w:sz w:val="18"/>
          <w:szCs w:val="18"/>
          <w:lang w:val="fr-FR"/>
        </w:rPr>
      </w:pPr>
      <w:r>
        <w:rPr>
          <w:b/>
          <w:sz w:val="18"/>
        </w:rPr>
        <w:t>Énergie / OIV-OSE</w:t>
      </w:r>
      <w:r>
        <w:rPr>
          <w:sz w:val="18"/>
        </w:rPr>
        <w:t xml:space="preserve"> : programme LPM, sécurisation et homologation d’un cloud privé critique, convergence IT/OT, SIEM, SOAR, XDR, Threat Intelligence, journalisation, traçabilité et coordination d’audits PASSI.</w:t>
      </w:r>
    </w:p>
    <w:p w14:paraId="583A22BB" w14:textId="77777777" w:rsidR="00027FBF" w:rsidRDefault="00027FBF">
      <w:pPr>
        <w:keepLines/>
        <w:spacing w:after="4" w:line="240" w:lineRule="auto"/>
        <w:rPr>
          <w:sz w:val="18"/>
          <w:szCs w:val="18"/>
          <w:lang w:val="fr-FR"/>
        </w:rPr>
      </w:pPr>
    </w:p>
    <w:p w14:paraId="49535100" w14:textId="77777777" w:rsidR="00027FBF" w:rsidRDefault="00000000">
      <w:pPr>
        <w:keepLines/>
        <w:spacing w:after="4" w:line="240" w:lineRule="auto"/>
        <w:rPr>
          <w:sz w:val="18"/>
          <w:szCs w:val="18"/>
          <w:lang w:val="fr-FR"/>
        </w:rPr>
      </w:pPr>
      <w:r>
        <w:rPr>
          <w:b/>
          <w:sz w:val="18"/>
        </w:rPr>
        <w:t>IA appliquée à la cybersécurité</w:t>
      </w:r>
      <w:r>
        <w:rPr>
          <w:sz w:val="18"/>
        </w:rPr>
        <w:t xml:space="preserve"> : évaluation et pilotage de cas d’usage de détection, qualification, triage, analyse de vulnérabilités, règles IAM et automatisation ; maîtrise des faux positifs, de la surface d’attaque et des exigences de gouvernance et de supervision humaine.</w:t>
      </w:r>
    </w:p>
    <w:p w14:paraId="1C574A83" w14:textId="77777777" w:rsidR="00027FBF" w:rsidRDefault="00027FBF">
      <w:pPr>
        <w:keepLines/>
        <w:spacing w:after="4" w:line="240" w:lineRule="auto"/>
        <w:rPr>
          <w:sz w:val="18"/>
          <w:szCs w:val="18"/>
          <w:lang w:val="fr-FR"/>
        </w:rPr>
      </w:pPr>
    </w:p>
    <w:p w14:paraId="5BD25170" w14:textId="77777777" w:rsidR="00027FBF" w:rsidRDefault="00000000">
      <w:pPr>
        <w:keepLines/>
        <w:spacing w:after="4" w:line="240" w:lineRule="auto"/>
        <w:rPr>
          <w:sz w:val="18"/>
          <w:szCs w:val="18"/>
          <w:lang w:val="fr-FR"/>
        </w:rPr>
      </w:pPr>
      <w:r>
        <w:rPr>
          <w:b/>
          <w:sz w:val="18"/>
        </w:rPr>
        <w:t>Vulnérabilités, patching et gestion de crise</w:t>
      </w:r>
      <w:r>
        <w:rPr>
          <w:sz w:val="18"/>
        </w:rPr>
        <w:t xml:space="preserve"> : priorisation, arbitrage, remédiation, patching, obsolescence et hardening ; suivi des KPI MTTD, MTTR, temps de correction, couverture des logs et taux de détection ; activation et pilotage de cellules de crise, communication DG/COMEX/autorités et RETEX.</w:t>
      </w:r>
    </w:p>
    <w:p w14:paraId="2E8B2B54" w14:textId="77777777" w:rsidR="00027FBF" w:rsidRDefault="00027FBF">
      <w:pPr>
        <w:keepLines/>
        <w:spacing w:after="4" w:line="240" w:lineRule="auto"/>
        <w:rPr>
          <w:sz w:val="18"/>
          <w:szCs w:val="18"/>
          <w:lang w:val="fr-FR"/>
        </w:rPr>
      </w:pPr>
    </w:p>
    <w:p w14:paraId="2C09EFBD" w14:textId="77777777" w:rsidR="00027FBF" w:rsidRDefault="00000000">
      <w:pPr>
        <w:keepLines/>
        <w:spacing w:after="4" w:line="240" w:lineRule="auto"/>
        <w:rPr>
          <w:sz w:val="18"/>
        </w:rPr>
      </w:pPr>
      <w:r>
        <w:rPr>
          <w:b/>
          <w:sz w:val="18"/>
        </w:rPr>
        <w:t>Nature des missions et confidentialité</w:t>
      </w:r>
      <w:r>
        <w:rPr>
          <w:sz w:val="18"/>
        </w:rPr>
        <w:t xml:space="preserve"> : les interventions courtes correspondent principalement à des audits de maturité, diagnostics réglementaires, cadrages ou constructions de roadmaps sur un périmètre défini. Certaines sociétés, architectures et données de contexte sont volontairement anonymisées conformément aux accords de non-divulgation </w:t>
      </w:r>
      <w:proofErr w:type="spellStart"/>
      <w:r>
        <w:rPr>
          <w:sz w:val="18"/>
        </w:rPr>
        <w:t>signés</w:t>
      </w:r>
      <w:proofErr w:type="spellEnd"/>
      <w:r>
        <w:rPr>
          <w:sz w:val="18"/>
        </w:rPr>
        <w:t>.</w:t>
      </w:r>
    </w:p>
    <w:p w14:paraId="00B54E53" w14:textId="77777777" w:rsidR="00F72CF0" w:rsidRDefault="00F72CF0">
      <w:pPr>
        <w:keepLines/>
        <w:spacing w:after="4" w:line="240" w:lineRule="auto"/>
        <w:rPr>
          <w:sz w:val="18"/>
        </w:rPr>
      </w:pPr>
    </w:p>
    <w:p w14:paraId="480FF6AE" w14:textId="77777777" w:rsidR="00F72CF0" w:rsidRDefault="00F72CF0">
      <w:pPr>
        <w:keepLines/>
        <w:spacing w:after="4" w:line="240" w:lineRule="auto"/>
        <w:rPr>
          <w:sz w:val="18"/>
        </w:rPr>
      </w:pPr>
    </w:p>
    <w:p w14:paraId="278C97A1" w14:textId="77777777" w:rsidR="00F72CF0" w:rsidRDefault="00F72CF0">
      <w:pPr>
        <w:keepLines/>
        <w:spacing w:after="4" w:line="240" w:lineRule="auto"/>
        <w:rPr>
          <w:sz w:val="18"/>
        </w:rPr>
      </w:pPr>
    </w:p>
    <w:p w14:paraId="71FB5D4E" w14:textId="77777777" w:rsidR="00F72CF0" w:rsidRDefault="00F72CF0">
      <w:pPr>
        <w:keepLines/>
        <w:spacing w:after="4" w:line="240" w:lineRule="auto"/>
        <w:rPr>
          <w:sz w:val="18"/>
        </w:rPr>
      </w:pPr>
    </w:p>
    <w:p w14:paraId="0E19C4AE" w14:textId="77777777" w:rsidR="00F72CF0" w:rsidRDefault="00F72CF0">
      <w:pPr>
        <w:keepLines/>
        <w:spacing w:after="4" w:line="240" w:lineRule="auto"/>
        <w:rPr>
          <w:sz w:val="18"/>
        </w:rPr>
      </w:pPr>
    </w:p>
    <w:p w14:paraId="0D81A442" w14:textId="77777777" w:rsidR="00F72CF0" w:rsidRDefault="00F72CF0">
      <w:pPr>
        <w:keepLines/>
        <w:spacing w:after="4" w:line="240" w:lineRule="auto"/>
        <w:rPr>
          <w:sz w:val="18"/>
        </w:rPr>
      </w:pPr>
    </w:p>
    <w:p w14:paraId="7CA01005" w14:textId="77777777" w:rsidR="00F72CF0" w:rsidRDefault="00F72CF0">
      <w:pPr>
        <w:keepLines/>
        <w:spacing w:after="4" w:line="240" w:lineRule="auto"/>
        <w:rPr>
          <w:sz w:val="18"/>
        </w:rPr>
      </w:pPr>
    </w:p>
    <w:p w14:paraId="6F8FFB8F" w14:textId="77777777" w:rsidR="00F72CF0" w:rsidRDefault="00F72CF0">
      <w:pPr>
        <w:keepLines/>
        <w:spacing w:after="4" w:line="240" w:lineRule="auto"/>
        <w:rPr>
          <w:sz w:val="18"/>
        </w:rPr>
      </w:pPr>
    </w:p>
    <w:p w14:paraId="38418129" w14:textId="77777777" w:rsidR="00F72CF0" w:rsidRDefault="00F72CF0">
      <w:pPr>
        <w:keepLines/>
        <w:spacing w:after="4" w:line="240" w:lineRule="auto"/>
        <w:rPr>
          <w:sz w:val="18"/>
        </w:rPr>
      </w:pPr>
    </w:p>
    <w:p w14:paraId="07B6D7C3" w14:textId="77777777" w:rsidR="00F72CF0" w:rsidRDefault="00F72CF0">
      <w:pPr>
        <w:keepLines/>
        <w:spacing w:after="4" w:line="240" w:lineRule="auto"/>
        <w:rPr>
          <w:sz w:val="18"/>
        </w:rPr>
      </w:pPr>
    </w:p>
    <w:p w14:paraId="27B973AF" w14:textId="77777777" w:rsidR="00F72CF0" w:rsidRDefault="00F72CF0">
      <w:pPr>
        <w:keepLines/>
        <w:spacing w:after="4" w:line="240" w:lineRule="auto"/>
        <w:rPr>
          <w:sz w:val="18"/>
        </w:rPr>
      </w:pPr>
    </w:p>
    <w:p w14:paraId="2AC5BBA6" w14:textId="77777777" w:rsidR="00F72CF0" w:rsidRDefault="00F72CF0">
      <w:pPr>
        <w:keepLines/>
        <w:spacing w:after="4" w:line="240" w:lineRule="auto"/>
        <w:rPr>
          <w:sz w:val="18"/>
        </w:rPr>
      </w:pPr>
    </w:p>
    <w:p w14:paraId="25A94E03" w14:textId="77777777" w:rsidR="00F72CF0" w:rsidRDefault="00F72CF0">
      <w:pPr>
        <w:keepLines/>
        <w:spacing w:after="4" w:line="240" w:lineRule="auto"/>
        <w:rPr>
          <w:sz w:val="18"/>
        </w:rPr>
      </w:pPr>
    </w:p>
    <w:p w14:paraId="2A195E69" w14:textId="77777777" w:rsidR="00F72CF0" w:rsidRDefault="00F72CF0">
      <w:pPr>
        <w:keepLines/>
        <w:spacing w:after="4" w:line="240" w:lineRule="auto"/>
        <w:rPr>
          <w:sz w:val="18"/>
        </w:rPr>
      </w:pPr>
    </w:p>
    <w:p w14:paraId="0FC0DE0D" w14:textId="77777777" w:rsidR="00F72CF0" w:rsidRDefault="00F72CF0">
      <w:pPr>
        <w:keepLines/>
        <w:spacing w:after="4" w:line="240" w:lineRule="auto"/>
        <w:rPr>
          <w:sz w:val="18"/>
          <w:szCs w:val="18"/>
          <w:lang w:val="fr-FR"/>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75"/>
        <w:gridCol w:w="5175"/>
      </w:tblGrid>
      <w:tr w:rsidR="00027FBF" w14:paraId="0A936AD0" w14:textId="77777777">
        <w:tc>
          <w:tcPr>
            <w:tcW w:w="5175" w:type="dxa"/>
            <w:shd w:val="clear" w:color="auto" w:fill="C00000"/>
            <w:tcMar>
              <w:top w:w="35" w:type="dxa"/>
              <w:left w:w="95" w:type="dxa"/>
              <w:bottom w:w="35" w:type="dxa"/>
              <w:right w:w="75" w:type="dxa"/>
            </w:tcMar>
            <w:vAlign w:val="center"/>
          </w:tcPr>
          <w:p w14:paraId="143EDE4F" w14:textId="77777777" w:rsidR="00027FBF" w:rsidRDefault="00000000">
            <w:pPr>
              <w:keepLines/>
              <w:spacing w:after="0" w:line="240" w:lineRule="auto"/>
            </w:pPr>
            <w:r>
              <w:rPr>
                <w:b/>
                <w:color w:val="FFFFFF"/>
                <w:sz w:val="18"/>
              </w:rPr>
              <w:lastRenderedPageBreak/>
              <w:t>COMPÉTENCES FONCTIONNELLES &amp; TECHNIQUES</w:t>
            </w:r>
          </w:p>
        </w:tc>
        <w:tc>
          <w:tcPr>
            <w:tcW w:w="5175" w:type="dxa"/>
            <w:tcBorders>
              <w:bottom w:val="single" w:sz="18" w:space="0" w:color="C00000"/>
            </w:tcBorders>
          </w:tcPr>
          <w:p w14:paraId="4AE33C76" w14:textId="77777777" w:rsidR="00027FBF" w:rsidRDefault="00027FBF"/>
        </w:tc>
      </w:tr>
    </w:tbl>
    <w:p w14:paraId="5B60506E" w14:textId="77777777" w:rsidR="00027FBF" w:rsidRDefault="00027FBF">
      <w:pPr>
        <w:keepLines/>
        <w:spacing w:after="4" w:line="240" w:lineRule="auto"/>
        <w:rPr>
          <w:b/>
          <w:sz w:val="20"/>
          <w:szCs w:val="20"/>
        </w:rPr>
      </w:pPr>
    </w:p>
    <w:p w14:paraId="54756F46" w14:textId="77777777" w:rsidR="00027FBF" w:rsidRDefault="00000000">
      <w:pPr>
        <w:keepLines/>
        <w:spacing w:after="4" w:line="240" w:lineRule="auto"/>
        <w:rPr>
          <w:sz w:val="18"/>
          <w:szCs w:val="18"/>
          <w:lang w:val="fr-FR"/>
        </w:rPr>
      </w:pPr>
      <w:r>
        <w:rPr>
          <w:b/>
          <w:bCs/>
          <w:sz w:val="18"/>
          <w:szCs w:val="18"/>
          <w:lang w:val="fr-FR"/>
        </w:rPr>
        <w:t>Direction de programme et gouvernance cyber</w:t>
      </w:r>
      <w:r>
        <w:rPr>
          <w:sz w:val="18"/>
          <w:szCs w:val="18"/>
          <w:lang w:val="fr-FR"/>
        </w:rPr>
        <w:t xml:space="preserve"> : cadrage stratégique, construction de roadmaps, définition des jalons, pilotage des budgets, risques et dépendances, arbitrages, coordination multi-équipes et multi-entités, animation des instances COPROJ, COPIL, CODIR et COMEX, reporting exécutif et conduite du changement.</w:t>
      </w:r>
    </w:p>
    <w:p w14:paraId="316E7F57" w14:textId="77777777" w:rsidR="00027FBF" w:rsidRDefault="00027FBF">
      <w:pPr>
        <w:keepLines/>
        <w:spacing w:after="4" w:line="240" w:lineRule="auto"/>
        <w:ind w:left="720"/>
        <w:rPr>
          <w:sz w:val="18"/>
          <w:szCs w:val="18"/>
          <w:lang w:val="fr-FR"/>
        </w:rPr>
      </w:pPr>
    </w:p>
    <w:p w14:paraId="5BA8B519" w14:textId="77777777" w:rsidR="00027FBF" w:rsidRDefault="00000000">
      <w:pPr>
        <w:keepLines/>
        <w:spacing w:after="4" w:line="240" w:lineRule="auto"/>
        <w:rPr>
          <w:bCs/>
          <w:sz w:val="18"/>
          <w:szCs w:val="18"/>
          <w:lang w:val="fr-FR"/>
        </w:rPr>
      </w:pPr>
      <w:r>
        <w:rPr>
          <w:b/>
          <w:bCs/>
          <w:sz w:val="18"/>
          <w:szCs w:val="18"/>
          <w:lang w:val="fr-FR"/>
        </w:rPr>
        <w:t>SOC et cyberdéfense :</w:t>
      </w:r>
      <w:r>
        <w:rPr>
          <w:b/>
          <w:sz w:val="18"/>
          <w:szCs w:val="18"/>
          <w:lang w:val="fr-FR"/>
        </w:rPr>
        <w:t xml:space="preserve"> </w:t>
      </w:r>
      <w:r>
        <w:rPr>
          <w:bCs/>
          <w:sz w:val="18"/>
          <w:szCs w:val="18"/>
          <w:lang w:val="fr-FR"/>
        </w:rPr>
        <w:t xml:space="preserve">pilotage du </w:t>
      </w:r>
      <w:proofErr w:type="spellStart"/>
      <w:r>
        <w:rPr>
          <w:bCs/>
          <w:sz w:val="18"/>
          <w:szCs w:val="18"/>
          <w:lang w:val="fr-FR"/>
        </w:rPr>
        <w:t>build</w:t>
      </w:r>
      <w:proofErr w:type="spellEnd"/>
      <w:r>
        <w:rPr>
          <w:bCs/>
          <w:sz w:val="18"/>
          <w:szCs w:val="18"/>
          <w:lang w:val="fr-FR"/>
        </w:rPr>
        <w:t xml:space="preserve">, du passage en exploitation et de la gouvernance de SOC ; définition des capacités de détection et de supervision ; SIEM, SOAR, XDR et </w:t>
      </w:r>
      <w:proofErr w:type="spellStart"/>
      <w:r>
        <w:rPr>
          <w:bCs/>
          <w:sz w:val="18"/>
          <w:szCs w:val="18"/>
          <w:lang w:val="fr-FR"/>
        </w:rPr>
        <w:t>Threat</w:t>
      </w:r>
      <w:proofErr w:type="spellEnd"/>
      <w:r>
        <w:rPr>
          <w:bCs/>
          <w:sz w:val="18"/>
          <w:szCs w:val="18"/>
          <w:lang w:val="fr-FR"/>
        </w:rPr>
        <w:t xml:space="preserve"> Intelligence ; processus de traitement des alertes, qualification, escalade, réponse aux incidents et amélioration continue.</w:t>
      </w:r>
    </w:p>
    <w:p w14:paraId="4B6A1F1C" w14:textId="77777777" w:rsidR="00027FBF" w:rsidRDefault="00027FBF">
      <w:pPr>
        <w:keepLines/>
        <w:spacing w:after="4" w:line="240" w:lineRule="auto"/>
        <w:rPr>
          <w:bCs/>
          <w:sz w:val="18"/>
          <w:szCs w:val="18"/>
          <w:lang w:val="fr-FR"/>
        </w:rPr>
      </w:pPr>
    </w:p>
    <w:p w14:paraId="2069A343" w14:textId="77777777" w:rsidR="00027FBF" w:rsidRDefault="00000000">
      <w:pPr>
        <w:keepLines/>
        <w:spacing w:after="4" w:line="240" w:lineRule="auto"/>
        <w:rPr>
          <w:bCs/>
          <w:sz w:val="18"/>
          <w:szCs w:val="18"/>
          <w:lang w:val="fr-FR"/>
        </w:rPr>
      </w:pPr>
      <w:r>
        <w:rPr>
          <w:b/>
          <w:bCs/>
          <w:sz w:val="18"/>
          <w:szCs w:val="18"/>
          <w:lang w:val="fr-FR"/>
        </w:rPr>
        <w:t>Gestion des expositions et des vulnérabilités :</w:t>
      </w:r>
      <w:r>
        <w:rPr>
          <w:b/>
          <w:sz w:val="18"/>
          <w:szCs w:val="18"/>
          <w:lang w:val="fr-FR"/>
        </w:rPr>
        <w:t xml:space="preserve"> </w:t>
      </w:r>
      <w:r>
        <w:rPr>
          <w:bCs/>
          <w:sz w:val="18"/>
          <w:szCs w:val="18"/>
          <w:lang w:val="fr-FR"/>
        </w:rPr>
        <w:t xml:space="preserve">cartographie des actifs critiques et des services exposés, rapprochement avec le BIA et la criticité métier, qualification et priorisation des risques, patch management, gestion de l’obsolescence, </w:t>
      </w:r>
      <w:proofErr w:type="spellStart"/>
      <w:r>
        <w:rPr>
          <w:bCs/>
          <w:sz w:val="18"/>
          <w:szCs w:val="18"/>
          <w:lang w:val="fr-FR"/>
        </w:rPr>
        <w:t>hardening</w:t>
      </w:r>
      <w:proofErr w:type="spellEnd"/>
      <w:r>
        <w:rPr>
          <w:bCs/>
          <w:sz w:val="18"/>
          <w:szCs w:val="18"/>
          <w:lang w:val="fr-FR"/>
        </w:rPr>
        <w:t>, mesures compensatoires, pilotage des plans de remédiation, tests, changements et rollback.</w:t>
      </w:r>
    </w:p>
    <w:p w14:paraId="296F89ED" w14:textId="77777777" w:rsidR="00027FBF" w:rsidRDefault="00027FBF">
      <w:pPr>
        <w:keepLines/>
        <w:spacing w:after="4" w:line="240" w:lineRule="auto"/>
        <w:rPr>
          <w:b/>
          <w:sz w:val="18"/>
          <w:szCs w:val="18"/>
          <w:lang w:val="fr-FR"/>
        </w:rPr>
      </w:pPr>
    </w:p>
    <w:p w14:paraId="6B92DEBA" w14:textId="77777777" w:rsidR="00027FBF" w:rsidRDefault="00000000">
      <w:pPr>
        <w:keepLines/>
        <w:spacing w:after="4" w:line="240" w:lineRule="auto"/>
        <w:rPr>
          <w:bCs/>
          <w:sz w:val="18"/>
          <w:szCs w:val="18"/>
          <w:lang w:val="fr-FR"/>
        </w:rPr>
      </w:pPr>
      <w:r>
        <w:rPr>
          <w:b/>
          <w:bCs/>
          <w:sz w:val="18"/>
          <w:szCs w:val="18"/>
          <w:lang w:val="fr-FR"/>
        </w:rPr>
        <w:t>Gestion de crise cyber et résilience :</w:t>
      </w:r>
      <w:r>
        <w:rPr>
          <w:b/>
          <w:sz w:val="18"/>
          <w:szCs w:val="18"/>
          <w:lang w:val="fr-FR"/>
        </w:rPr>
        <w:t xml:space="preserve"> </w:t>
      </w:r>
      <w:r>
        <w:rPr>
          <w:bCs/>
          <w:sz w:val="18"/>
          <w:szCs w:val="18"/>
          <w:lang w:val="fr-FR"/>
        </w:rPr>
        <w:t>qualification et classification des incidents, déclenchement et pilotage des cellules de crise, mobilisation des acteurs IT, Cyber, Métiers, Risques et fournisseurs, arbitrages, journal de crise, communication exécutive, coordination institutionnelle, retour d’expérience et pilotage des remédiations.</w:t>
      </w:r>
    </w:p>
    <w:p w14:paraId="3E5FA45B" w14:textId="77777777" w:rsidR="00027FBF" w:rsidRDefault="00027FBF">
      <w:pPr>
        <w:keepLines/>
        <w:spacing w:after="4" w:line="240" w:lineRule="auto"/>
        <w:rPr>
          <w:b/>
          <w:sz w:val="18"/>
          <w:szCs w:val="18"/>
          <w:lang w:val="fr-FR"/>
        </w:rPr>
      </w:pPr>
    </w:p>
    <w:p w14:paraId="2DEC161A" w14:textId="370B0F88" w:rsidR="00027FBF" w:rsidRDefault="00000000">
      <w:pPr>
        <w:keepLines/>
        <w:spacing w:after="4" w:line="240" w:lineRule="auto"/>
        <w:rPr>
          <w:bCs/>
          <w:sz w:val="18"/>
          <w:szCs w:val="18"/>
          <w:lang w:val="fr-FR"/>
        </w:rPr>
      </w:pPr>
      <w:r>
        <w:rPr>
          <w:b/>
          <w:bCs/>
          <w:sz w:val="18"/>
          <w:szCs w:val="18"/>
          <w:lang w:val="fr-FR"/>
        </w:rPr>
        <w:t>IA et cyberdéfense augmentée :</w:t>
      </w:r>
      <w:r>
        <w:rPr>
          <w:b/>
          <w:sz w:val="18"/>
          <w:szCs w:val="18"/>
          <w:lang w:val="fr-FR"/>
        </w:rPr>
        <w:t xml:space="preserve"> </w:t>
      </w:r>
      <w:r>
        <w:rPr>
          <w:bCs/>
          <w:sz w:val="18"/>
          <w:szCs w:val="18"/>
          <w:lang w:val="fr-FR"/>
        </w:rPr>
        <w:t xml:space="preserve">pilotage de POC </w:t>
      </w:r>
      <w:proofErr w:type="spellStart"/>
      <w:r>
        <w:rPr>
          <w:bCs/>
          <w:sz w:val="18"/>
          <w:szCs w:val="18"/>
          <w:lang w:val="fr-FR"/>
        </w:rPr>
        <w:t>GenAI</w:t>
      </w:r>
      <w:proofErr w:type="spellEnd"/>
      <w:r>
        <w:rPr>
          <w:bCs/>
          <w:sz w:val="18"/>
          <w:szCs w:val="18"/>
          <w:lang w:val="fr-FR"/>
        </w:rPr>
        <w:t xml:space="preserve"> et de cas d’usage IA Cyber, analyse de la performance des dispositifs, maîtrise des faux positifs et faux négatifs, impacts sur les règles IAM, définition des garde-fous, supervision humaine, gestion des risques liés à l’automatisation et conditions de passage en production.</w:t>
      </w:r>
    </w:p>
    <w:p w14:paraId="524B45C5" w14:textId="77777777" w:rsidR="00027FBF" w:rsidRDefault="00027FBF">
      <w:pPr>
        <w:keepLines/>
        <w:spacing w:after="4" w:line="240" w:lineRule="auto"/>
        <w:rPr>
          <w:bCs/>
          <w:sz w:val="18"/>
          <w:szCs w:val="18"/>
          <w:lang w:val="fr-FR"/>
        </w:rPr>
      </w:pPr>
    </w:p>
    <w:p w14:paraId="04B0607E" w14:textId="77777777" w:rsidR="00027FBF" w:rsidRDefault="00000000">
      <w:pPr>
        <w:keepLines/>
        <w:spacing w:after="4" w:line="240" w:lineRule="auto"/>
        <w:rPr>
          <w:bCs/>
          <w:sz w:val="18"/>
          <w:szCs w:val="18"/>
          <w:lang w:val="fr-FR"/>
        </w:rPr>
      </w:pPr>
      <w:r>
        <w:rPr>
          <w:b/>
          <w:bCs/>
          <w:sz w:val="18"/>
          <w:szCs w:val="18"/>
          <w:lang w:val="fr-FR"/>
        </w:rPr>
        <w:t>Pilotage de la performance cyber :</w:t>
      </w:r>
      <w:r>
        <w:rPr>
          <w:b/>
          <w:sz w:val="18"/>
          <w:szCs w:val="18"/>
          <w:lang w:val="fr-FR"/>
        </w:rPr>
        <w:t xml:space="preserve"> </w:t>
      </w:r>
      <w:r>
        <w:rPr>
          <w:bCs/>
          <w:sz w:val="18"/>
          <w:szCs w:val="18"/>
          <w:lang w:val="fr-FR"/>
        </w:rPr>
        <w:t>qualité et exploitabilité des logs, couverture des menaces et des compromissions, délais de détection et de réponse, taux de faux positifs et faux négatifs, efficacité des processus d’arbitrage et d’escalade, coûts des incidents et des risques, couverture de conformité et retour sur investissement des dispositifs SOC.</w:t>
      </w:r>
    </w:p>
    <w:p w14:paraId="383AB5BC" w14:textId="77777777" w:rsidR="00027FBF" w:rsidRDefault="00000000">
      <w:pPr>
        <w:keepLines/>
        <w:spacing w:after="4" w:line="240" w:lineRule="auto"/>
        <w:rPr>
          <w:sz w:val="18"/>
          <w:szCs w:val="18"/>
          <w:lang w:val="fr-FR"/>
        </w:rPr>
      </w:pPr>
      <w:r>
        <w:rPr>
          <w:b/>
          <w:sz w:val="18"/>
        </w:rPr>
        <w:t>Écosystème technologique et réglementaire</w:t>
      </w:r>
      <w:r>
        <w:rPr>
          <w:sz w:val="18"/>
        </w:rPr>
        <w:t xml:space="preserve"> : SIEM, SOAR, EDR, XDR, NDR, Threat Intelligence, IAM/IGA/PAM/PKI, Zero Trust, PCA/PRA, cloud privé ; SEKOIA.IO, Stormshield, Gatewatcher, Wallix ; ISO 27001/27005, EBIOS RM, NIST CSF, LPM, DORA, NIS2, RGPD et HDS.</w:t>
      </w:r>
    </w:p>
    <w:p w14:paraId="3F5AB6F4" w14:textId="77777777" w:rsidR="00027FBF" w:rsidRDefault="00027FBF">
      <w:pPr>
        <w:keepLines/>
        <w:spacing w:after="4" w:line="240" w:lineRule="auto"/>
        <w:ind w:left="720"/>
        <w:rPr>
          <w:sz w:val="18"/>
          <w:szCs w:val="18"/>
          <w:lang w:val="fr-FR"/>
        </w:rPr>
      </w:pPr>
    </w:p>
    <w:p w14:paraId="6D65B9B7" w14:textId="77777777" w:rsidR="00027FBF" w:rsidRDefault="00027FBF">
      <w:pPr>
        <w:keepLines/>
        <w:spacing w:after="4" w:line="240" w:lineRule="auto"/>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75"/>
        <w:gridCol w:w="5175"/>
      </w:tblGrid>
      <w:tr w:rsidR="00027FBF" w14:paraId="273627F7" w14:textId="77777777">
        <w:tc>
          <w:tcPr>
            <w:tcW w:w="5175" w:type="dxa"/>
            <w:shd w:val="clear" w:color="auto" w:fill="C00000"/>
            <w:tcMar>
              <w:top w:w="35" w:type="dxa"/>
              <w:left w:w="95" w:type="dxa"/>
              <w:bottom w:w="35" w:type="dxa"/>
              <w:right w:w="75" w:type="dxa"/>
            </w:tcMar>
            <w:vAlign w:val="center"/>
          </w:tcPr>
          <w:p w14:paraId="5DC66526" w14:textId="77777777" w:rsidR="00027FBF" w:rsidRDefault="00000000">
            <w:pPr>
              <w:keepLines/>
              <w:spacing w:after="0" w:line="240" w:lineRule="auto"/>
            </w:pPr>
            <w:r>
              <w:rPr>
                <w:b/>
                <w:color w:val="FFFFFF"/>
                <w:sz w:val="18"/>
              </w:rPr>
              <w:t>EXPÉRIENCES PROFESSIONNELLES</w:t>
            </w:r>
          </w:p>
        </w:tc>
        <w:tc>
          <w:tcPr>
            <w:tcW w:w="5175" w:type="dxa"/>
            <w:tcBorders>
              <w:bottom w:val="single" w:sz="18" w:space="0" w:color="C00000"/>
            </w:tcBorders>
          </w:tcPr>
          <w:p w14:paraId="1F2345B6" w14:textId="77777777" w:rsidR="00027FBF" w:rsidRDefault="00027FBF"/>
        </w:tc>
      </w:tr>
    </w:tbl>
    <w:p w14:paraId="63A80831" w14:textId="77777777" w:rsidR="00027FBF" w:rsidRDefault="00000000">
      <w:pPr>
        <w:keepNext/>
        <w:keepLines/>
        <w:spacing w:before="44" w:after="3" w:line="240" w:lineRule="auto"/>
        <w:rPr>
          <w:sz w:val="18"/>
          <w:szCs w:val="18"/>
        </w:rPr>
      </w:pPr>
      <w:r>
        <w:rPr>
          <w:b/>
          <w:color w:val="C00000"/>
          <w:sz w:val="18"/>
          <w:szCs w:val="18"/>
        </w:rPr>
        <w:t xml:space="preserve">CEGID / EBP, 11/2024 - 12/2025 (1 </w:t>
      </w:r>
      <w:proofErr w:type="gramStart"/>
      <w:r>
        <w:rPr>
          <w:b/>
          <w:color w:val="C00000"/>
          <w:sz w:val="18"/>
          <w:szCs w:val="18"/>
        </w:rPr>
        <w:t>an</w:t>
      </w:r>
      <w:proofErr w:type="gramEnd"/>
      <w:r>
        <w:rPr>
          <w:b/>
          <w:color w:val="C00000"/>
          <w:sz w:val="18"/>
          <w:szCs w:val="18"/>
        </w:rPr>
        <w:t xml:space="preserve"> 2 mois)</w:t>
      </w:r>
    </w:p>
    <w:p w14:paraId="404F3B5C" w14:textId="77777777" w:rsidR="00027FBF" w:rsidRDefault="00000000">
      <w:pPr>
        <w:keepNext/>
        <w:keepLines/>
        <w:spacing w:after="4" w:line="240" w:lineRule="auto"/>
        <w:rPr>
          <w:sz w:val="18"/>
          <w:szCs w:val="18"/>
        </w:rPr>
      </w:pPr>
      <w:r>
        <w:rPr>
          <w:b/>
          <w:i/>
          <w:sz w:val="18"/>
          <w:szCs w:val="18"/>
        </w:rPr>
        <w:t>Directeur des Systèmes d’Information - membre du CODIR DSI</w:t>
      </w:r>
    </w:p>
    <w:p w14:paraId="3AA5000E" w14:textId="77777777" w:rsidR="00027FBF" w:rsidRDefault="00000000">
      <w:pPr>
        <w:keepLines/>
        <w:spacing w:after="2" w:line="240" w:lineRule="auto"/>
        <w:ind w:left="230" w:hanging="144"/>
        <w:rPr>
          <w:sz w:val="18"/>
          <w:szCs w:val="18"/>
        </w:rPr>
      </w:pPr>
      <w:r>
        <w:rPr>
          <w:sz w:val="18"/>
          <w:szCs w:val="18"/>
        </w:rPr>
        <w:t>▪ Prise en charge de la DSI lors de l’intégration post-acquisition d’EBP au sein de Cegid et construction du programme de convergence SI sur 18 mois.</w:t>
      </w:r>
    </w:p>
    <w:p w14:paraId="66FFE570" w14:textId="77777777" w:rsidR="00027FBF" w:rsidRDefault="00000000">
      <w:pPr>
        <w:keepLines/>
        <w:spacing w:after="2" w:line="240" w:lineRule="auto"/>
        <w:ind w:left="230" w:hanging="144"/>
        <w:rPr>
          <w:sz w:val="18"/>
          <w:szCs w:val="18"/>
        </w:rPr>
      </w:pPr>
      <w:r>
        <w:rPr>
          <w:sz w:val="18"/>
          <w:szCs w:val="18"/>
        </w:rPr>
        <w:t xml:space="preserve">▪ Pilotage simultané de la transformation et du </w:t>
      </w:r>
      <w:proofErr w:type="gramStart"/>
      <w:r>
        <w:rPr>
          <w:sz w:val="18"/>
          <w:szCs w:val="18"/>
        </w:rPr>
        <w:t>RUN :</w:t>
      </w:r>
      <w:proofErr w:type="gramEnd"/>
      <w:r>
        <w:rPr>
          <w:sz w:val="18"/>
          <w:szCs w:val="18"/>
        </w:rPr>
        <w:t xml:space="preserve"> qualité de service, incidents majeurs, SLA, continuité d’activité et coordination des directions métiers.</w:t>
      </w:r>
    </w:p>
    <w:p w14:paraId="0211D70D" w14:textId="77777777" w:rsidR="00027FBF" w:rsidRDefault="00000000">
      <w:pPr>
        <w:keepLines/>
        <w:spacing w:after="2" w:line="240" w:lineRule="auto"/>
        <w:ind w:left="230" w:hanging="144"/>
        <w:rPr>
          <w:sz w:val="18"/>
          <w:szCs w:val="18"/>
        </w:rPr>
      </w:pPr>
      <w:r>
        <w:rPr>
          <w:sz w:val="18"/>
          <w:szCs w:val="18"/>
        </w:rPr>
        <w:t>▪ Management d’environ 20 collaborateurs, dont 2 managers en direct, et pilotage de POC d’IA générative ayant démontré des gains de productivité de 15 % à 35 %.</w:t>
      </w:r>
    </w:p>
    <w:p w14:paraId="0173CDA4" w14:textId="77777777" w:rsidR="00027FBF" w:rsidRDefault="00000000">
      <w:pPr>
        <w:keepLines/>
        <w:spacing w:before="1" w:after="4" w:line="240" w:lineRule="auto"/>
        <w:rPr>
          <w:sz w:val="18"/>
          <w:szCs w:val="18"/>
        </w:rPr>
      </w:pPr>
      <w:r>
        <w:rPr>
          <w:b/>
          <w:sz w:val="18"/>
          <w:szCs w:val="18"/>
        </w:rPr>
        <w:t>Environnement / mots-</w:t>
      </w:r>
      <w:proofErr w:type="gramStart"/>
      <w:r>
        <w:rPr>
          <w:b/>
          <w:sz w:val="18"/>
          <w:szCs w:val="18"/>
        </w:rPr>
        <w:t>clés :</w:t>
      </w:r>
      <w:proofErr w:type="gramEnd"/>
      <w:r>
        <w:rPr>
          <w:b/>
          <w:sz w:val="18"/>
          <w:szCs w:val="18"/>
        </w:rPr>
        <w:t xml:space="preserve"> </w:t>
      </w:r>
      <w:r>
        <w:rPr>
          <w:sz w:val="18"/>
          <w:szCs w:val="18"/>
        </w:rPr>
        <w:t xml:space="preserve">Gouvernance SI, post-M&amp;A, roadmap, RUN, SLA, incidents </w:t>
      </w:r>
      <w:proofErr w:type="spellStart"/>
      <w:r>
        <w:rPr>
          <w:sz w:val="18"/>
          <w:szCs w:val="18"/>
        </w:rPr>
        <w:t>majeurs</w:t>
      </w:r>
      <w:proofErr w:type="spellEnd"/>
      <w:r>
        <w:rPr>
          <w:sz w:val="18"/>
          <w:szCs w:val="18"/>
        </w:rPr>
        <w:t xml:space="preserve">, IA </w:t>
      </w:r>
      <w:proofErr w:type="spellStart"/>
      <w:r>
        <w:rPr>
          <w:sz w:val="18"/>
          <w:szCs w:val="18"/>
        </w:rPr>
        <w:t>générative</w:t>
      </w:r>
      <w:proofErr w:type="spellEnd"/>
      <w:r>
        <w:rPr>
          <w:sz w:val="18"/>
          <w:szCs w:val="18"/>
        </w:rPr>
        <w:t>, management, CODIR</w:t>
      </w:r>
    </w:p>
    <w:p w14:paraId="64045CE1" w14:textId="77777777" w:rsidR="00027FBF" w:rsidRDefault="00027FBF">
      <w:pPr>
        <w:keepLines/>
        <w:spacing w:before="1" w:after="4" w:line="240" w:lineRule="auto"/>
        <w:rPr>
          <w:sz w:val="18"/>
          <w:szCs w:val="18"/>
        </w:rPr>
      </w:pPr>
    </w:p>
    <w:p w14:paraId="52A4BDBC" w14:textId="77777777" w:rsidR="00027FBF" w:rsidRDefault="00000000">
      <w:pPr>
        <w:keepNext/>
        <w:keepLines/>
        <w:spacing w:before="44" w:after="3" w:line="240" w:lineRule="auto"/>
        <w:rPr>
          <w:sz w:val="18"/>
          <w:szCs w:val="18"/>
        </w:rPr>
      </w:pPr>
      <w:r>
        <w:rPr>
          <w:b/>
          <w:color w:val="C00000"/>
          <w:sz w:val="18"/>
          <w:szCs w:val="18"/>
        </w:rPr>
        <w:t>GROUPE LE CONSERVATEUR, 07/2024 - 11/2024 (5 mois)</w:t>
      </w:r>
    </w:p>
    <w:p w14:paraId="150FA5C4" w14:textId="77777777" w:rsidR="00027FBF" w:rsidRDefault="00000000">
      <w:pPr>
        <w:keepNext/>
        <w:keepLines/>
        <w:spacing w:after="4" w:line="240" w:lineRule="auto"/>
        <w:rPr>
          <w:sz w:val="18"/>
          <w:szCs w:val="18"/>
        </w:rPr>
      </w:pPr>
      <w:r>
        <w:rPr>
          <w:b/>
          <w:i/>
          <w:sz w:val="18"/>
          <w:szCs w:val="18"/>
        </w:rPr>
        <w:t>Responsable Sécurité des Systèmes d’Information - RSSI</w:t>
      </w:r>
    </w:p>
    <w:p w14:paraId="14571A16" w14:textId="77777777" w:rsidR="00027FBF" w:rsidRDefault="00000000">
      <w:pPr>
        <w:keepLines/>
        <w:spacing w:after="2" w:line="240" w:lineRule="auto"/>
        <w:ind w:left="230" w:hanging="144"/>
        <w:rPr>
          <w:sz w:val="18"/>
          <w:szCs w:val="18"/>
        </w:rPr>
      </w:pPr>
      <w:r>
        <w:rPr>
          <w:sz w:val="18"/>
          <w:szCs w:val="18"/>
        </w:rPr>
        <w:t>▪ Audit de maturité GRC, cadrage DORA et définition de la feuille de route de remédiation couvrant risques TIC, incidents majeurs, résilience, tiers critiques et partage de renseignements sur les menaces.</w:t>
      </w:r>
    </w:p>
    <w:p w14:paraId="6C907536" w14:textId="77777777" w:rsidR="00027FBF" w:rsidRDefault="00000000">
      <w:pPr>
        <w:keepLines/>
        <w:spacing w:after="2" w:line="240" w:lineRule="auto"/>
        <w:ind w:left="230" w:hanging="144"/>
        <w:rPr>
          <w:sz w:val="18"/>
          <w:szCs w:val="18"/>
        </w:rPr>
      </w:pPr>
      <w:r>
        <w:rPr>
          <w:sz w:val="18"/>
          <w:szCs w:val="18"/>
        </w:rPr>
        <w:t>▪ Pilotage du programme de conformité, animation de la comitologie cyber, suivi des plans d’action et reporting KPI/KRI auprès du COMEX et du Conseil d’administration.</w:t>
      </w:r>
    </w:p>
    <w:p w14:paraId="7CED93CC" w14:textId="77777777" w:rsidR="00027FBF" w:rsidRDefault="00000000">
      <w:pPr>
        <w:keepLines/>
        <w:spacing w:after="2" w:line="240" w:lineRule="auto"/>
        <w:ind w:left="230" w:hanging="144"/>
        <w:rPr>
          <w:sz w:val="18"/>
          <w:szCs w:val="18"/>
        </w:rPr>
      </w:pPr>
      <w:r>
        <w:rPr>
          <w:sz w:val="18"/>
          <w:szCs w:val="18"/>
        </w:rPr>
        <w:t>▪ Coordination des métiers, Risques, Conformité, Juridique, Achats et DSI jusqu’à la mise en conformité DORA dans le calendrier réglementaire.</w:t>
      </w:r>
    </w:p>
    <w:p w14:paraId="514CCF51" w14:textId="58D09B88" w:rsidR="00027FBF" w:rsidRDefault="00000000">
      <w:pPr>
        <w:keepLines/>
        <w:spacing w:before="1" w:after="4" w:line="240" w:lineRule="auto"/>
        <w:rPr>
          <w:sz w:val="18"/>
          <w:szCs w:val="18"/>
        </w:rPr>
      </w:pPr>
      <w:r>
        <w:rPr>
          <w:b/>
          <w:sz w:val="18"/>
          <w:szCs w:val="18"/>
        </w:rPr>
        <w:t>Environnement / mots-</w:t>
      </w:r>
      <w:proofErr w:type="gramStart"/>
      <w:r>
        <w:rPr>
          <w:b/>
          <w:sz w:val="18"/>
          <w:szCs w:val="18"/>
        </w:rPr>
        <w:t>clés :</w:t>
      </w:r>
      <w:proofErr w:type="gramEnd"/>
      <w:r>
        <w:rPr>
          <w:b/>
          <w:sz w:val="18"/>
          <w:szCs w:val="18"/>
        </w:rPr>
        <w:t xml:space="preserve"> </w:t>
      </w:r>
      <w:r>
        <w:rPr>
          <w:sz w:val="18"/>
          <w:szCs w:val="18"/>
        </w:rPr>
        <w:t xml:space="preserve">DORA, GRC, risques TIC, incidents </w:t>
      </w:r>
      <w:proofErr w:type="spellStart"/>
      <w:r>
        <w:rPr>
          <w:sz w:val="18"/>
          <w:szCs w:val="18"/>
        </w:rPr>
        <w:t>majeurs</w:t>
      </w:r>
      <w:proofErr w:type="spellEnd"/>
      <w:r>
        <w:rPr>
          <w:sz w:val="18"/>
          <w:szCs w:val="18"/>
        </w:rPr>
        <w:t xml:space="preserve">, </w:t>
      </w:r>
      <w:proofErr w:type="spellStart"/>
      <w:r>
        <w:rPr>
          <w:sz w:val="18"/>
          <w:szCs w:val="18"/>
        </w:rPr>
        <w:t>résilience</w:t>
      </w:r>
      <w:proofErr w:type="spellEnd"/>
      <w:r>
        <w:rPr>
          <w:sz w:val="18"/>
          <w:szCs w:val="18"/>
        </w:rPr>
        <w:t>, TPRM, KPI/KRI, COMEX</w:t>
      </w:r>
    </w:p>
    <w:p w14:paraId="27444B10" w14:textId="77777777" w:rsidR="00027FBF" w:rsidRDefault="00027FBF">
      <w:pPr>
        <w:keepLines/>
        <w:spacing w:before="1" w:after="4" w:line="240" w:lineRule="auto"/>
        <w:rPr>
          <w:sz w:val="18"/>
          <w:szCs w:val="18"/>
        </w:rPr>
      </w:pPr>
    </w:p>
    <w:p w14:paraId="1874DD29" w14:textId="77777777" w:rsidR="00027FBF" w:rsidRDefault="00000000">
      <w:pPr>
        <w:keepNext/>
        <w:keepLines/>
        <w:spacing w:before="44" w:after="3" w:line="240" w:lineRule="auto"/>
        <w:rPr>
          <w:sz w:val="18"/>
          <w:szCs w:val="18"/>
        </w:rPr>
      </w:pPr>
      <w:r>
        <w:rPr>
          <w:b/>
          <w:color w:val="C00000"/>
          <w:sz w:val="18"/>
          <w:szCs w:val="18"/>
        </w:rPr>
        <w:t xml:space="preserve">GROUPE ARCHE / NAXOS, 04/2023 - 04/2024 (1 </w:t>
      </w:r>
      <w:proofErr w:type="gramStart"/>
      <w:r>
        <w:rPr>
          <w:b/>
          <w:color w:val="C00000"/>
          <w:sz w:val="18"/>
          <w:szCs w:val="18"/>
        </w:rPr>
        <w:t>an</w:t>
      </w:r>
      <w:proofErr w:type="gramEnd"/>
      <w:r>
        <w:rPr>
          <w:b/>
          <w:color w:val="C00000"/>
          <w:sz w:val="18"/>
          <w:szCs w:val="18"/>
        </w:rPr>
        <w:t xml:space="preserve"> 1 mois)</w:t>
      </w:r>
    </w:p>
    <w:p w14:paraId="565529FC" w14:textId="77777777" w:rsidR="00027FBF" w:rsidRDefault="00000000">
      <w:pPr>
        <w:keepNext/>
        <w:keepLines/>
        <w:spacing w:after="4" w:line="240" w:lineRule="auto"/>
        <w:rPr>
          <w:sz w:val="18"/>
          <w:szCs w:val="18"/>
        </w:rPr>
      </w:pPr>
      <w:r>
        <w:rPr>
          <w:b/>
          <w:i/>
          <w:sz w:val="18"/>
          <w:szCs w:val="18"/>
        </w:rPr>
        <w:t>Directeur des Systèmes d’Information / Technique - membre du COMEX</w:t>
      </w:r>
    </w:p>
    <w:p w14:paraId="1C389C50" w14:textId="77777777" w:rsidR="00027FBF" w:rsidRDefault="00000000">
      <w:pPr>
        <w:keepLines/>
        <w:spacing w:after="2" w:line="240" w:lineRule="auto"/>
        <w:ind w:left="230" w:hanging="144"/>
        <w:rPr>
          <w:sz w:val="18"/>
          <w:szCs w:val="18"/>
        </w:rPr>
      </w:pPr>
      <w:r>
        <w:rPr>
          <w:sz w:val="18"/>
          <w:szCs w:val="18"/>
        </w:rPr>
        <w:t>▪ Transformation de la DSI et de la Direction Technique, définition d’une roadmap SI et technique sur 18 mois et structuration de la gouvernance portefeuille.</w:t>
      </w:r>
    </w:p>
    <w:p w14:paraId="42D174E4" w14:textId="77777777" w:rsidR="00027FBF" w:rsidRDefault="00000000">
      <w:pPr>
        <w:keepLines/>
        <w:spacing w:after="2" w:line="240" w:lineRule="auto"/>
        <w:ind w:left="230" w:hanging="144"/>
        <w:rPr>
          <w:sz w:val="18"/>
          <w:szCs w:val="18"/>
        </w:rPr>
      </w:pPr>
      <w:r>
        <w:rPr>
          <w:sz w:val="18"/>
          <w:szCs w:val="18"/>
        </w:rPr>
        <w:t xml:space="preserve">▪ Industrialisation de la Software </w:t>
      </w:r>
      <w:proofErr w:type="gramStart"/>
      <w:r>
        <w:rPr>
          <w:sz w:val="18"/>
          <w:szCs w:val="18"/>
        </w:rPr>
        <w:t>Factory :</w:t>
      </w:r>
      <w:proofErr w:type="gramEnd"/>
      <w:r>
        <w:rPr>
          <w:sz w:val="18"/>
          <w:szCs w:val="18"/>
        </w:rPr>
        <w:t xml:space="preserve"> SDLC, DevSecOps, CI/CD, référentiels Git, qualité logicielle et sécurité dans le cycle de vie.</w:t>
      </w:r>
    </w:p>
    <w:p w14:paraId="787E21C5" w14:textId="77777777" w:rsidR="00027FBF" w:rsidRDefault="00000000">
      <w:pPr>
        <w:keepLines/>
        <w:spacing w:after="2" w:line="240" w:lineRule="auto"/>
        <w:ind w:left="230" w:hanging="144"/>
        <w:rPr>
          <w:sz w:val="18"/>
          <w:szCs w:val="18"/>
        </w:rPr>
      </w:pPr>
      <w:r>
        <w:rPr>
          <w:sz w:val="18"/>
          <w:szCs w:val="18"/>
        </w:rPr>
        <w:t>▪ Pilotage de plusieurs expérimentations IA, intégration des cas d’usage retenus à la roadmap produit, budget de 3,5 M€ et management d’environ 30 collaborateurs.</w:t>
      </w:r>
    </w:p>
    <w:p w14:paraId="19E285B2" w14:textId="77777777" w:rsidR="00027FBF" w:rsidRDefault="00000000">
      <w:pPr>
        <w:keepLines/>
        <w:spacing w:before="1" w:after="4" w:line="240" w:lineRule="auto"/>
        <w:rPr>
          <w:sz w:val="18"/>
          <w:szCs w:val="18"/>
        </w:rPr>
      </w:pPr>
      <w:r>
        <w:rPr>
          <w:b/>
          <w:sz w:val="18"/>
          <w:szCs w:val="18"/>
        </w:rPr>
        <w:t>Environnement / mots-</w:t>
      </w:r>
      <w:proofErr w:type="gramStart"/>
      <w:r>
        <w:rPr>
          <w:b/>
          <w:sz w:val="18"/>
          <w:szCs w:val="18"/>
        </w:rPr>
        <w:t>clés :</w:t>
      </w:r>
      <w:proofErr w:type="gramEnd"/>
      <w:r>
        <w:rPr>
          <w:b/>
          <w:sz w:val="18"/>
          <w:szCs w:val="18"/>
        </w:rPr>
        <w:t xml:space="preserve"> </w:t>
      </w:r>
      <w:r>
        <w:rPr>
          <w:sz w:val="18"/>
          <w:szCs w:val="18"/>
        </w:rPr>
        <w:t xml:space="preserve">Roadmap SI, Software Factory, SDLC, </w:t>
      </w:r>
      <w:proofErr w:type="spellStart"/>
      <w:r>
        <w:rPr>
          <w:sz w:val="18"/>
          <w:szCs w:val="18"/>
        </w:rPr>
        <w:t>DevSecOps</w:t>
      </w:r>
      <w:proofErr w:type="spellEnd"/>
      <w:r>
        <w:rPr>
          <w:sz w:val="18"/>
          <w:szCs w:val="18"/>
        </w:rPr>
        <w:t xml:space="preserve">, CI/CD, IA, </w:t>
      </w:r>
      <w:proofErr w:type="spellStart"/>
      <w:r>
        <w:rPr>
          <w:sz w:val="18"/>
          <w:szCs w:val="18"/>
        </w:rPr>
        <w:t>portefeuille</w:t>
      </w:r>
      <w:proofErr w:type="spellEnd"/>
      <w:r>
        <w:rPr>
          <w:sz w:val="18"/>
          <w:szCs w:val="18"/>
        </w:rPr>
        <w:t xml:space="preserve"> </w:t>
      </w:r>
      <w:proofErr w:type="spellStart"/>
      <w:r>
        <w:rPr>
          <w:sz w:val="18"/>
          <w:szCs w:val="18"/>
        </w:rPr>
        <w:t>projets</w:t>
      </w:r>
      <w:proofErr w:type="spellEnd"/>
      <w:r>
        <w:rPr>
          <w:sz w:val="18"/>
          <w:szCs w:val="18"/>
        </w:rPr>
        <w:t>, KPI, budget</w:t>
      </w:r>
    </w:p>
    <w:p w14:paraId="12D41E86" w14:textId="77777777" w:rsidR="00027FBF" w:rsidRDefault="00027FBF">
      <w:pPr>
        <w:keepLines/>
        <w:spacing w:before="1" w:after="4" w:line="240" w:lineRule="auto"/>
        <w:rPr>
          <w:sz w:val="18"/>
          <w:szCs w:val="18"/>
        </w:rPr>
      </w:pPr>
    </w:p>
    <w:p w14:paraId="222FAC59" w14:textId="77777777" w:rsidR="00027FBF" w:rsidRDefault="00000000">
      <w:pPr>
        <w:keepNext/>
        <w:keepLines/>
        <w:spacing w:before="44" w:after="3" w:line="240" w:lineRule="auto"/>
        <w:rPr>
          <w:sz w:val="18"/>
          <w:szCs w:val="18"/>
        </w:rPr>
      </w:pPr>
      <w:r>
        <w:rPr>
          <w:b/>
          <w:color w:val="C00000"/>
          <w:sz w:val="18"/>
          <w:szCs w:val="18"/>
        </w:rPr>
        <w:lastRenderedPageBreak/>
        <w:t>ACTEUR DU SECTEUR ÉNERGIE, 02/2023 - 03/2023 (2 mois)</w:t>
      </w:r>
    </w:p>
    <w:p w14:paraId="19F38C08" w14:textId="77777777" w:rsidR="00027FBF" w:rsidRDefault="00000000">
      <w:pPr>
        <w:keepNext/>
        <w:keepLines/>
        <w:spacing w:after="4" w:line="240" w:lineRule="auto"/>
        <w:rPr>
          <w:sz w:val="18"/>
          <w:szCs w:val="18"/>
        </w:rPr>
      </w:pPr>
      <w:r>
        <w:rPr>
          <w:b/>
          <w:i/>
          <w:sz w:val="18"/>
        </w:rPr>
        <w:t>Auditeur GRC / Cybersécurité - RSSI | Mission d’audit et de cadrage ciblée</w:t>
      </w:r>
    </w:p>
    <w:p w14:paraId="2F4FBD23" w14:textId="77777777" w:rsidR="00027FBF" w:rsidRDefault="00000000">
      <w:pPr>
        <w:keepLines/>
        <w:spacing w:after="2" w:line="240" w:lineRule="auto"/>
        <w:ind w:left="230" w:hanging="144"/>
        <w:rPr>
          <w:sz w:val="18"/>
          <w:szCs w:val="18"/>
        </w:rPr>
      </w:pPr>
      <w:r>
        <w:rPr>
          <w:sz w:val="18"/>
          <w:szCs w:val="18"/>
        </w:rPr>
        <w:t>▪ Évaluation de la gouvernance SSI, des risques, des contrôles, de l’organisation cyber et de l’intégration Security by Design dans les projets.</w:t>
      </w:r>
    </w:p>
    <w:p w14:paraId="2117C454" w14:textId="77777777" w:rsidR="00027FBF" w:rsidRDefault="00000000">
      <w:pPr>
        <w:keepLines/>
        <w:spacing w:after="2" w:line="240" w:lineRule="auto"/>
        <w:ind w:left="230" w:hanging="144"/>
        <w:rPr>
          <w:sz w:val="18"/>
          <w:szCs w:val="18"/>
        </w:rPr>
      </w:pPr>
      <w:r>
        <w:rPr>
          <w:sz w:val="18"/>
          <w:szCs w:val="18"/>
        </w:rPr>
        <w:t>▪ Identification des écarts ISO 27001/27002 et NIST CSF, priorisation des remédiations et définition d’une roadmap cybersécurité 2023-2025.</w:t>
      </w:r>
    </w:p>
    <w:p w14:paraId="7EDDEEAC" w14:textId="60AD7F7A" w:rsidR="00027FBF" w:rsidRDefault="00000000">
      <w:pPr>
        <w:keepLines/>
        <w:spacing w:before="1" w:after="4" w:line="240" w:lineRule="auto"/>
        <w:rPr>
          <w:sz w:val="18"/>
          <w:szCs w:val="18"/>
        </w:rPr>
      </w:pPr>
      <w:r>
        <w:rPr>
          <w:b/>
          <w:sz w:val="18"/>
          <w:szCs w:val="18"/>
        </w:rPr>
        <w:t>Environnement / mots-</w:t>
      </w:r>
      <w:proofErr w:type="gramStart"/>
      <w:r>
        <w:rPr>
          <w:b/>
          <w:sz w:val="18"/>
          <w:szCs w:val="18"/>
        </w:rPr>
        <w:t>clés :</w:t>
      </w:r>
      <w:proofErr w:type="gramEnd"/>
      <w:r>
        <w:rPr>
          <w:b/>
          <w:sz w:val="18"/>
          <w:szCs w:val="18"/>
        </w:rPr>
        <w:t xml:space="preserve"> </w:t>
      </w:r>
      <w:r>
        <w:rPr>
          <w:sz w:val="18"/>
          <w:szCs w:val="18"/>
        </w:rPr>
        <w:t xml:space="preserve">GRC, ISO 27001/27002, NIST CSF, Security by Design, </w:t>
      </w:r>
      <w:proofErr w:type="spellStart"/>
      <w:r>
        <w:rPr>
          <w:sz w:val="18"/>
          <w:szCs w:val="18"/>
        </w:rPr>
        <w:t>vulnérabilités</w:t>
      </w:r>
      <w:proofErr w:type="spellEnd"/>
      <w:r>
        <w:rPr>
          <w:sz w:val="18"/>
          <w:szCs w:val="18"/>
        </w:rPr>
        <w:t>, roadmap, KPI/KRI</w:t>
      </w:r>
    </w:p>
    <w:p w14:paraId="57528612" w14:textId="77777777" w:rsidR="00027FBF" w:rsidRDefault="00027FBF">
      <w:pPr>
        <w:keepLines/>
        <w:spacing w:before="1" w:after="4" w:line="240" w:lineRule="auto"/>
        <w:rPr>
          <w:sz w:val="18"/>
          <w:szCs w:val="18"/>
        </w:rPr>
      </w:pPr>
    </w:p>
    <w:p w14:paraId="518C5110" w14:textId="7E96EBB8" w:rsidR="00027FBF" w:rsidRDefault="00000000">
      <w:pPr>
        <w:keepNext/>
        <w:rPr>
          <w:b/>
          <w:color w:val="C00000"/>
          <w:sz w:val="20"/>
          <w:szCs w:val="20"/>
        </w:rPr>
      </w:pPr>
      <w:r>
        <w:rPr>
          <w:b/>
          <w:color w:val="C00000"/>
          <w:sz w:val="20"/>
          <w:szCs w:val="20"/>
        </w:rPr>
        <w:t xml:space="preserve">GROUPE BPCE / ONEY / ONEYTRUST, 06/2022 - 12/2022 (7 </w:t>
      </w:r>
      <w:proofErr w:type="spellStart"/>
      <w:r>
        <w:rPr>
          <w:b/>
          <w:color w:val="C00000"/>
          <w:sz w:val="20"/>
          <w:szCs w:val="20"/>
        </w:rPr>
        <w:t>mois</w:t>
      </w:r>
      <w:proofErr w:type="spellEnd"/>
      <w:r>
        <w:rPr>
          <w:b/>
          <w:color w:val="C00000"/>
          <w:sz w:val="20"/>
          <w:szCs w:val="20"/>
        </w:rPr>
        <w:t>)</w:t>
      </w:r>
    </w:p>
    <w:p w14:paraId="7198965A" w14:textId="06A3B611" w:rsidR="00027FBF" w:rsidRDefault="00000000">
      <w:pPr>
        <w:keepNext/>
        <w:rPr>
          <w:sz w:val="18"/>
          <w:szCs w:val="18"/>
        </w:rPr>
      </w:pPr>
      <w:r>
        <w:rPr>
          <w:b/>
          <w:i/>
          <w:sz w:val="18"/>
          <w:szCs w:val="18"/>
        </w:rPr>
        <w:t xml:space="preserve">Directeur des </w:t>
      </w:r>
      <w:proofErr w:type="spellStart"/>
      <w:r>
        <w:rPr>
          <w:b/>
          <w:i/>
          <w:sz w:val="18"/>
          <w:szCs w:val="18"/>
        </w:rPr>
        <w:t>Systèmes</w:t>
      </w:r>
      <w:proofErr w:type="spellEnd"/>
      <w:r>
        <w:rPr>
          <w:b/>
          <w:i/>
          <w:sz w:val="18"/>
          <w:szCs w:val="18"/>
        </w:rPr>
        <w:t xml:space="preserve"> </w:t>
      </w:r>
      <w:proofErr w:type="spellStart"/>
      <w:r>
        <w:rPr>
          <w:b/>
          <w:i/>
          <w:sz w:val="18"/>
          <w:szCs w:val="18"/>
        </w:rPr>
        <w:t>d’Information</w:t>
      </w:r>
      <w:proofErr w:type="spellEnd"/>
    </w:p>
    <w:p w14:paraId="05CCF8E1" w14:textId="77777777" w:rsidR="00027FBF" w:rsidRDefault="00000000">
      <w:pPr>
        <w:keepLines/>
        <w:spacing w:after="2" w:line="240" w:lineRule="auto"/>
        <w:ind w:left="230" w:hanging="144"/>
        <w:rPr>
          <w:sz w:val="18"/>
          <w:szCs w:val="18"/>
        </w:rPr>
      </w:pPr>
      <w:r>
        <w:rPr>
          <w:sz w:val="18"/>
          <w:szCs w:val="18"/>
        </w:rPr>
        <w:t>▪ Transformation de la DSI, structuration du portefeuille de projets, clarification des rôles et mise en place d’une gouvernance de priorisation et de maîtrise des engagements.</w:t>
      </w:r>
    </w:p>
    <w:p w14:paraId="23747EB8" w14:textId="77777777" w:rsidR="00027FBF" w:rsidRDefault="00000000">
      <w:pPr>
        <w:keepLines/>
        <w:spacing w:after="2" w:line="240" w:lineRule="auto"/>
        <w:ind w:left="230" w:hanging="144"/>
        <w:rPr>
          <w:sz w:val="18"/>
          <w:szCs w:val="18"/>
        </w:rPr>
      </w:pPr>
      <w:r>
        <w:rPr>
          <w:sz w:val="18"/>
          <w:szCs w:val="18"/>
        </w:rPr>
        <w:t xml:space="preserve">▪ Définition de KPI et tableaux de bord </w:t>
      </w:r>
      <w:proofErr w:type="gramStart"/>
      <w:r>
        <w:rPr>
          <w:sz w:val="18"/>
          <w:szCs w:val="18"/>
        </w:rPr>
        <w:t>exécutifs ;</w:t>
      </w:r>
      <w:proofErr w:type="gramEnd"/>
      <w:r>
        <w:rPr>
          <w:sz w:val="18"/>
          <w:szCs w:val="18"/>
        </w:rPr>
        <w:t xml:space="preserve"> accompagnement du COMEX, des managers et des équipes dans l’évolution des processus et méthodes de travail.</w:t>
      </w:r>
    </w:p>
    <w:p w14:paraId="472E2E69" w14:textId="77777777" w:rsidR="00027FBF" w:rsidRDefault="00000000">
      <w:pPr>
        <w:keepLines/>
        <w:spacing w:before="1" w:after="4" w:line="240" w:lineRule="auto"/>
        <w:rPr>
          <w:sz w:val="18"/>
          <w:szCs w:val="18"/>
        </w:rPr>
      </w:pPr>
      <w:r>
        <w:rPr>
          <w:b/>
          <w:sz w:val="18"/>
          <w:szCs w:val="18"/>
        </w:rPr>
        <w:t>Environnement / mots-</w:t>
      </w:r>
      <w:proofErr w:type="gramStart"/>
      <w:r>
        <w:rPr>
          <w:b/>
          <w:sz w:val="18"/>
          <w:szCs w:val="18"/>
        </w:rPr>
        <w:t>clés :</w:t>
      </w:r>
      <w:proofErr w:type="gramEnd"/>
      <w:r>
        <w:rPr>
          <w:b/>
          <w:sz w:val="18"/>
          <w:szCs w:val="18"/>
        </w:rPr>
        <w:t xml:space="preserve"> </w:t>
      </w:r>
      <w:r>
        <w:rPr>
          <w:sz w:val="18"/>
          <w:szCs w:val="18"/>
        </w:rPr>
        <w:t xml:space="preserve">Gouvernance SI, banque, fraude, portefeuille </w:t>
      </w:r>
      <w:proofErr w:type="spellStart"/>
      <w:r>
        <w:rPr>
          <w:sz w:val="18"/>
          <w:szCs w:val="18"/>
        </w:rPr>
        <w:t>projets</w:t>
      </w:r>
      <w:proofErr w:type="spellEnd"/>
      <w:r>
        <w:rPr>
          <w:sz w:val="18"/>
          <w:szCs w:val="18"/>
        </w:rPr>
        <w:t xml:space="preserve">, KPI, Agile, </w:t>
      </w:r>
      <w:proofErr w:type="spellStart"/>
      <w:r>
        <w:rPr>
          <w:sz w:val="18"/>
          <w:szCs w:val="18"/>
        </w:rPr>
        <w:t>conduite</w:t>
      </w:r>
      <w:proofErr w:type="spellEnd"/>
      <w:r>
        <w:rPr>
          <w:sz w:val="18"/>
          <w:szCs w:val="18"/>
        </w:rPr>
        <w:t xml:space="preserve"> du </w:t>
      </w:r>
      <w:proofErr w:type="spellStart"/>
      <w:r>
        <w:rPr>
          <w:sz w:val="18"/>
          <w:szCs w:val="18"/>
        </w:rPr>
        <w:t>changement</w:t>
      </w:r>
      <w:proofErr w:type="spellEnd"/>
      <w:r>
        <w:rPr>
          <w:sz w:val="18"/>
          <w:szCs w:val="18"/>
        </w:rPr>
        <w:t>, COMEX</w:t>
      </w:r>
    </w:p>
    <w:p w14:paraId="1C400D04" w14:textId="77777777" w:rsidR="00F72CF0" w:rsidRDefault="00F72CF0">
      <w:pPr>
        <w:keepLines/>
        <w:spacing w:before="1" w:after="4" w:line="240" w:lineRule="auto"/>
        <w:rPr>
          <w:sz w:val="18"/>
          <w:szCs w:val="18"/>
        </w:rPr>
      </w:pPr>
    </w:p>
    <w:p w14:paraId="51B75C9E" w14:textId="00115118" w:rsidR="00027FBF" w:rsidRDefault="00000000">
      <w:pPr>
        <w:keepNext/>
        <w:keepLines/>
        <w:spacing w:before="44" w:after="3" w:line="240" w:lineRule="auto"/>
        <w:rPr>
          <w:sz w:val="20"/>
          <w:szCs w:val="20"/>
        </w:rPr>
      </w:pPr>
      <w:r>
        <w:rPr>
          <w:b/>
          <w:color w:val="C00000"/>
          <w:sz w:val="20"/>
          <w:szCs w:val="20"/>
        </w:rPr>
        <w:t>GROUPE ENGIE / GRTGAZ, 03/2019 - 05/2022 (3 ans 3 mois)</w:t>
      </w:r>
    </w:p>
    <w:p w14:paraId="0268F783" w14:textId="77777777" w:rsidR="00027FBF" w:rsidRDefault="00000000">
      <w:pPr>
        <w:keepNext/>
        <w:keepLines/>
        <w:spacing w:after="4" w:line="240" w:lineRule="auto"/>
        <w:rPr>
          <w:sz w:val="18"/>
          <w:szCs w:val="18"/>
        </w:rPr>
      </w:pPr>
      <w:r>
        <w:rPr>
          <w:b/>
          <w:i/>
          <w:sz w:val="18"/>
          <w:szCs w:val="18"/>
        </w:rPr>
        <w:t>RSSI - Expert Cybersécurité / Architecture LPM</w:t>
      </w:r>
    </w:p>
    <w:p w14:paraId="0FEC1577" w14:textId="77777777" w:rsidR="00027FBF" w:rsidRDefault="00000000">
      <w:pPr>
        <w:keepLines/>
        <w:spacing w:after="2" w:line="240" w:lineRule="auto"/>
        <w:ind w:left="230" w:hanging="144"/>
        <w:rPr>
          <w:sz w:val="18"/>
          <w:szCs w:val="18"/>
        </w:rPr>
      </w:pPr>
      <w:r>
        <w:rPr>
          <w:sz w:val="18"/>
          <w:szCs w:val="18"/>
        </w:rPr>
        <w:t>▪ Pilotage de la conception, de la sécurisation et de l’homologation d’un cloud privé destiné à des systèmes critiques et industriels, avec convergence IT/OT.</w:t>
      </w:r>
    </w:p>
    <w:p w14:paraId="6F002489" w14:textId="77777777" w:rsidR="00027FBF" w:rsidRDefault="00000000">
      <w:pPr>
        <w:keepLines/>
        <w:spacing w:after="2" w:line="240" w:lineRule="auto"/>
        <w:ind w:left="230" w:hanging="144"/>
        <w:rPr>
          <w:sz w:val="18"/>
          <w:szCs w:val="18"/>
        </w:rPr>
      </w:pPr>
      <w:r>
        <w:rPr>
          <w:sz w:val="18"/>
          <w:szCs w:val="18"/>
        </w:rPr>
        <w:t xml:space="preserve">▪ Définition des architectures de </w:t>
      </w:r>
      <w:proofErr w:type="gramStart"/>
      <w:r>
        <w:rPr>
          <w:sz w:val="18"/>
          <w:szCs w:val="18"/>
        </w:rPr>
        <w:t>sécurité :</w:t>
      </w:r>
      <w:proofErr w:type="gramEnd"/>
      <w:r>
        <w:rPr>
          <w:sz w:val="18"/>
          <w:szCs w:val="18"/>
        </w:rPr>
        <w:t xml:space="preserve"> segmentation, cloisonnement, flux, durcissement, journalisation, supervision, IAM/IGA, comptes à privilèges et MCS.</w:t>
      </w:r>
    </w:p>
    <w:p w14:paraId="73869659" w14:textId="77777777" w:rsidR="00027FBF" w:rsidRDefault="00000000">
      <w:pPr>
        <w:keepLines/>
        <w:spacing w:after="2" w:line="240" w:lineRule="auto"/>
        <w:ind w:left="230" w:hanging="144"/>
        <w:rPr>
          <w:sz w:val="20"/>
          <w:szCs w:val="20"/>
        </w:rPr>
      </w:pPr>
      <w:r>
        <w:rPr>
          <w:sz w:val="18"/>
          <w:szCs w:val="18"/>
        </w:rPr>
        <w:t>▪ Animation des analyses de risques, revues d’architecture, gestion des vulnérabilités, patching, suivi des plans de remédiation et maintien en conditions de sécurité jusqu’à la levée des non-conformités</w:t>
      </w:r>
      <w:r>
        <w:rPr>
          <w:sz w:val="20"/>
          <w:szCs w:val="20"/>
        </w:rPr>
        <w:t>.</w:t>
      </w:r>
    </w:p>
    <w:p w14:paraId="0D42DAD5" w14:textId="77777777" w:rsidR="00027FBF" w:rsidRDefault="00000000">
      <w:pPr>
        <w:keepLines/>
        <w:spacing w:after="2" w:line="240" w:lineRule="auto"/>
        <w:ind w:left="230" w:hanging="144"/>
        <w:rPr>
          <w:sz w:val="20"/>
          <w:szCs w:val="20"/>
        </w:rPr>
      </w:pPr>
      <w:r>
        <w:rPr>
          <w:sz w:val="20"/>
          <w:szCs w:val="20"/>
        </w:rPr>
        <w:t>▪ Coordination des équipes IT/OT, fournisseurs, exploitation et auditeurs PASSI jusqu’à l’obtention de l’homologation réglementaire.</w:t>
      </w:r>
    </w:p>
    <w:p w14:paraId="74C0D45C" w14:textId="13EE40D3" w:rsidR="00027FBF" w:rsidRDefault="00000000">
      <w:pPr>
        <w:keepLines/>
        <w:spacing w:before="1" w:after="4" w:line="240" w:lineRule="auto"/>
        <w:rPr>
          <w:sz w:val="20"/>
          <w:szCs w:val="20"/>
        </w:rPr>
      </w:pPr>
      <w:r>
        <w:rPr>
          <w:b/>
          <w:sz w:val="18"/>
        </w:rPr>
        <w:t>Environnement / mots-clés</w:t>
      </w:r>
      <w:r>
        <w:rPr>
          <w:sz w:val="18"/>
        </w:rPr>
        <w:t xml:space="preserve"> : LPM, OIV/OSE, cloud privé, IT/OT, SCADA, SIEM, SOAR, XDR, Threat Intelligence, IAM/IGA, MCS, supervision, homologation, PASSI</w:t>
      </w:r>
    </w:p>
    <w:p w14:paraId="1AD283A5" w14:textId="77777777" w:rsidR="00027FBF" w:rsidRDefault="00027FBF">
      <w:pPr>
        <w:keepLines/>
        <w:spacing w:before="1" w:after="4" w:line="240" w:lineRule="auto"/>
        <w:rPr>
          <w:sz w:val="20"/>
          <w:szCs w:val="20"/>
        </w:rPr>
      </w:pPr>
    </w:p>
    <w:p w14:paraId="048B3021" w14:textId="77777777" w:rsidR="00027FBF" w:rsidRDefault="00000000">
      <w:pPr>
        <w:keepNext/>
        <w:keepLines/>
        <w:spacing w:before="44" w:after="3" w:line="240" w:lineRule="auto"/>
        <w:rPr>
          <w:sz w:val="20"/>
          <w:szCs w:val="20"/>
        </w:rPr>
      </w:pPr>
      <w:r>
        <w:rPr>
          <w:b/>
          <w:color w:val="C00000"/>
          <w:sz w:val="20"/>
          <w:szCs w:val="20"/>
        </w:rPr>
        <w:t>LABORATOIRE PHARMACEUTIQUE, 11/2018 - 03/2019 (5 mois)</w:t>
      </w:r>
    </w:p>
    <w:p w14:paraId="6AC22532" w14:textId="77777777" w:rsidR="00027FBF" w:rsidRDefault="00000000">
      <w:pPr>
        <w:keepNext/>
        <w:keepLines/>
        <w:spacing w:after="4" w:line="240" w:lineRule="auto"/>
        <w:rPr>
          <w:sz w:val="20"/>
          <w:szCs w:val="20"/>
        </w:rPr>
      </w:pPr>
      <w:r>
        <w:rPr>
          <w:b/>
          <w:i/>
          <w:sz w:val="18"/>
        </w:rPr>
        <w:t>Auditeur GRC - Système d’Information | Mission d’audit de maturité ciblée</w:t>
      </w:r>
    </w:p>
    <w:p w14:paraId="3519ECBF" w14:textId="77777777" w:rsidR="00027FBF" w:rsidRDefault="00000000">
      <w:pPr>
        <w:keepLines/>
        <w:spacing w:after="2" w:line="240" w:lineRule="auto"/>
        <w:ind w:left="230" w:hanging="144"/>
        <w:rPr>
          <w:sz w:val="20"/>
          <w:szCs w:val="20"/>
        </w:rPr>
      </w:pPr>
      <w:r>
        <w:rPr>
          <w:sz w:val="20"/>
          <w:szCs w:val="20"/>
        </w:rPr>
        <w:t xml:space="preserve">▪ Audit de maturité de la gouvernance SI et </w:t>
      </w:r>
      <w:proofErr w:type="gramStart"/>
      <w:r>
        <w:rPr>
          <w:sz w:val="20"/>
          <w:szCs w:val="20"/>
        </w:rPr>
        <w:t>cyber :</w:t>
      </w:r>
      <w:proofErr w:type="gramEnd"/>
      <w:r>
        <w:rPr>
          <w:sz w:val="20"/>
          <w:szCs w:val="20"/>
        </w:rPr>
        <w:t xml:space="preserve"> risques, contrôle interne, infrastructures, applications, identités, tiers, vulnérabilités, continuité et réponse aux incidents.</w:t>
      </w:r>
    </w:p>
    <w:p w14:paraId="3E9C1F59" w14:textId="77777777" w:rsidR="00027FBF" w:rsidRDefault="00000000">
      <w:pPr>
        <w:keepLines/>
        <w:spacing w:after="2" w:line="240" w:lineRule="auto"/>
        <w:ind w:left="230" w:hanging="144"/>
        <w:rPr>
          <w:sz w:val="20"/>
          <w:szCs w:val="20"/>
        </w:rPr>
      </w:pPr>
      <w:r>
        <w:rPr>
          <w:sz w:val="20"/>
          <w:szCs w:val="20"/>
        </w:rPr>
        <w:t xml:space="preserve">▪ Priorisation des remédiations, définition d’une roadmap pluriannuelle et présentation au </w:t>
      </w:r>
      <w:proofErr w:type="gramStart"/>
      <w:r>
        <w:rPr>
          <w:sz w:val="20"/>
          <w:szCs w:val="20"/>
        </w:rPr>
        <w:t>COMEX ;</w:t>
      </w:r>
      <w:proofErr w:type="gramEnd"/>
      <w:r>
        <w:rPr>
          <w:sz w:val="20"/>
          <w:szCs w:val="20"/>
        </w:rPr>
        <w:t xml:space="preserve"> lancement d’un portefeuille de 15 projets structurants.</w:t>
      </w:r>
    </w:p>
    <w:p w14:paraId="066B6982" w14:textId="77777777" w:rsidR="00027FBF" w:rsidRDefault="00000000">
      <w:pPr>
        <w:keepLines/>
        <w:spacing w:before="1" w:after="4" w:line="240" w:lineRule="auto"/>
        <w:rPr>
          <w:sz w:val="20"/>
          <w:szCs w:val="20"/>
        </w:rPr>
      </w:pPr>
      <w:r>
        <w:rPr>
          <w:b/>
          <w:sz w:val="20"/>
          <w:szCs w:val="20"/>
        </w:rPr>
        <w:t>Environnement / mots-</w:t>
      </w:r>
      <w:proofErr w:type="gramStart"/>
      <w:r>
        <w:rPr>
          <w:b/>
          <w:sz w:val="20"/>
          <w:szCs w:val="20"/>
        </w:rPr>
        <w:t>clés :</w:t>
      </w:r>
      <w:proofErr w:type="gramEnd"/>
      <w:r>
        <w:rPr>
          <w:b/>
          <w:sz w:val="20"/>
          <w:szCs w:val="20"/>
        </w:rPr>
        <w:t xml:space="preserve"> </w:t>
      </w:r>
      <w:r>
        <w:rPr>
          <w:sz w:val="20"/>
          <w:szCs w:val="20"/>
        </w:rPr>
        <w:t xml:space="preserve">GRC, audit, risques, IAM, </w:t>
      </w:r>
      <w:proofErr w:type="spellStart"/>
      <w:r>
        <w:rPr>
          <w:sz w:val="20"/>
          <w:szCs w:val="20"/>
        </w:rPr>
        <w:t>vulnérabilités</w:t>
      </w:r>
      <w:proofErr w:type="spellEnd"/>
      <w:r>
        <w:rPr>
          <w:sz w:val="20"/>
          <w:szCs w:val="20"/>
        </w:rPr>
        <w:t xml:space="preserve">, </w:t>
      </w:r>
      <w:proofErr w:type="spellStart"/>
      <w:r>
        <w:rPr>
          <w:sz w:val="20"/>
          <w:szCs w:val="20"/>
        </w:rPr>
        <w:t>continuité</w:t>
      </w:r>
      <w:proofErr w:type="spellEnd"/>
      <w:r>
        <w:rPr>
          <w:sz w:val="20"/>
          <w:szCs w:val="20"/>
        </w:rPr>
        <w:t xml:space="preserve">, </w:t>
      </w:r>
      <w:proofErr w:type="spellStart"/>
      <w:r>
        <w:rPr>
          <w:sz w:val="20"/>
          <w:szCs w:val="20"/>
        </w:rPr>
        <w:t>réponse</w:t>
      </w:r>
      <w:proofErr w:type="spellEnd"/>
      <w:r>
        <w:rPr>
          <w:sz w:val="20"/>
          <w:szCs w:val="20"/>
        </w:rPr>
        <w:t xml:space="preserve"> aux incidents, KPI/KRI</w:t>
      </w:r>
    </w:p>
    <w:p w14:paraId="1D8FB3B1" w14:textId="77777777" w:rsidR="00027FBF" w:rsidRDefault="00027FBF">
      <w:pPr>
        <w:keepLines/>
        <w:spacing w:before="1" w:after="4" w:line="240" w:lineRule="auto"/>
        <w:rPr>
          <w:sz w:val="20"/>
          <w:szCs w:val="20"/>
        </w:rPr>
      </w:pPr>
    </w:p>
    <w:p w14:paraId="61BB6156" w14:textId="77777777" w:rsidR="00027FBF" w:rsidRDefault="00000000">
      <w:pPr>
        <w:keepNext/>
        <w:keepLines/>
        <w:spacing w:before="44" w:after="3" w:line="240" w:lineRule="auto"/>
        <w:rPr>
          <w:sz w:val="20"/>
          <w:szCs w:val="20"/>
        </w:rPr>
      </w:pPr>
      <w:r>
        <w:rPr>
          <w:b/>
          <w:color w:val="C00000"/>
          <w:sz w:val="20"/>
          <w:szCs w:val="20"/>
        </w:rPr>
        <w:t>ACTEUR INDUSTRIEL, 10/2018 - 01/2019 (4 mois)</w:t>
      </w:r>
    </w:p>
    <w:p w14:paraId="6C921A86" w14:textId="77777777" w:rsidR="00027FBF" w:rsidRDefault="00000000">
      <w:pPr>
        <w:keepNext/>
        <w:keepLines/>
        <w:spacing w:after="4" w:line="240" w:lineRule="auto"/>
        <w:rPr>
          <w:sz w:val="20"/>
          <w:szCs w:val="20"/>
        </w:rPr>
      </w:pPr>
      <w:r>
        <w:rPr>
          <w:b/>
          <w:i/>
          <w:sz w:val="18"/>
        </w:rPr>
        <w:t>RSSI - Auditeur GRC / Systèmes d’Information | Mission de diagnostic ciblée</w:t>
      </w:r>
    </w:p>
    <w:p w14:paraId="3C10714E" w14:textId="77777777" w:rsidR="00027FBF" w:rsidRDefault="00000000">
      <w:pPr>
        <w:keepLines/>
        <w:spacing w:after="2" w:line="240" w:lineRule="auto"/>
        <w:ind w:left="230" w:hanging="144"/>
        <w:rPr>
          <w:sz w:val="20"/>
          <w:szCs w:val="20"/>
        </w:rPr>
      </w:pPr>
      <w:r>
        <w:rPr>
          <w:sz w:val="20"/>
          <w:szCs w:val="20"/>
        </w:rPr>
        <w:t>▪ Évaluation de la gouvernance cyber, des identités et des architectures IT/</w:t>
      </w:r>
      <w:proofErr w:type="gramStart"/>
      <w:r>
        <w:rPr>
          <w:sz w:val="20"/>
          <w:szCs w:val="20"/>
        </w:rPr>
        <w:t>OT :</w:t>
      </w:r>
      <w:proofErr w:type="gramEnd"/>
      <w:r>
        <w:rPr>
          <w:sz w:val="20"/>
          <w:szCs w:val="20"/>
        </w:rPr>
        <w:t xml:space="preserve"> segmentation, cloisonnement, flux, accès, Defense in Depth et comptes privilégiés.</w:t>
      </w:r>
    </w:p>
    <w:p w14:paraId="5DD78318" w14:textId="77777777" w:rsidR="00027FBF" w:rsidRDefault="00000000">
      <w:pPr>
        <w:keepLines/>
        <w:spacing w:after="2" w:line="240" w:lineRule="auto"/>
        <w:ind w:left="230" w:hanging="144"/>
        <w:rPr>
          <w:sz w:val="20"/>
          <w:szCs w:val="20"/>
        </w:rPr>
      </w:pPr>
      <w:r>
        <w:rPr>
          <w:sz w:val="20"/>
          <w:szCs w:val="20"/>
        </w:rPr>
        <w:t>▪ Cartographie des risques, définition du schéma directeur SSI, de la roadmap de transformation et du plan de contrôle interne.</w:t>
      </w:r>
    </w:p>
    <w:p w14:paraId="2FCD0DAE" w14:textId="77777777" w:rsidR="00027FBF" w:rsidRDefault="00000000">
      <w:pPr>
        <w:keepLines/>
        <w:spacing w:before="1" w:after="4" w:line="240" w:lineRule="auto"/>
        <w:rPr>
          <w:sz w:val="20"/>
          <w:szCs w:val="20"/>
        </w:rPr>
      </w:pPr>
      <w:r>
        <w:rPr>
          <w:b/>
          <w:sz w:val="20"/>
          <w:szCs w:val="20"/>
        </w:rPr>
        <w:t>Environnement / mots-</w:t>
      </w:r>
      <w:proofErr w:type="gramStart"/>
      <w:r>
        <w:rPr>
          <w:b/>
          <w:sz w:val="20"/>
          <w:szCs w:val="20"/>
        </w:rPr>
        <w:t>clés :</w:t>
      </w:r>
      <w:proofErr w:type="gramEnd"/>
      <w:r>
        <w:rPr>
          <w:b/>
          <w:sz w:val="20"/>
          <w:szCs w:val="20"/>
        </w:rPr>
        <w:t xml:space="preserve"> </w:t>
      </w:r>
      <w:r>
        <w:rPr>
          <w:sz w:val="20"/>
          <w:szCs w:val="20"/>
        </w:rPr>
        <w:t xml:space="preserve">GRC, IT/OT, IAM/IGA, RBAC, JML, </w:t>
      </w:r>
      <w:proofErr w:type="spellStart"/>
      <w:r>
        <w:rPr>
          <w:sz w:val="20"/>
          <w:szCs w:val="20"/>
        </w:rPr>
        <w:t>SoD</w:t>
      </w:r>
      <w:proofErr w:type="spellEnd"/>
      <w:r>
        <w:rPr>
          <w:sz w:val="20"/>
          <w:szCs w:val="20"/>
        </w:rPr>
        <w:t xml:space="preserve">, architecture de </w:t>
      </w:r>
      <w:proofErr w:type="spellStart"/>
      <w:r>
        <w:rPr>
          <w:sz w:val="20"/>
          <w:szCs w:val="20"/>
        </w:rPr>
        <w:t>sécurité</w:t>
      </w:r>
      <w:proofErr w:type="spellEnd"/>
      <w:r>
        <w:rPr>
          <w:sz w:val="20"/>
          <w:szCs w:val="20"/>
        </w:rPr>
        <w:t xml:space="preserve">, </w:t>
      </w:r>
      <w:proofErr w:type="spellStart"/>
      <w:r>
        <w:rPr>
          <w:sz w:val="20"/>
          <w:szCs w:val="20"/>
        </w:rPr>
        <w:t>schéma</w:t>
      </w:r>
      <w:proofErr w:type="spellEnd"/>
      <w:r>
        <w:rPr>
          <w:sz w:val="20"/>
          <w:szCs w:val="20"/>
        </w:rPr>
        <w:t xml:space="preserve"> </w:t>
      </w:r>
      <w:proofErr w:type="spellStart"/>
      <w:r>
        <w:rPr>
          <w:sz w:val="20"/>
          <w:szCs w:val="20"/>
        </w:rPr>
        <w:t>directeur</w:t>
      </w:r>
      <w:proofErr w:type="spellEnd"/>
      <w:r>
        <w:rPr>
          <w:sz w:val="20"/>
          <w:szCs w:val="20"/>
        </w:rPr>
        <w:t xml:space="preserve"> SSI</w:t>
      </w:r>
    </w:p>
    <w:p w14:paraId="5C0092A1" w14:textId="77777777" w:rsidR="00027FBF" w:rsidRDefault="00027FBF">
      <w:pPr>
        <w:keepLines/>
        <w:spacing w:before="1" w:after="4" w:line="240" w:lineRule="auto"/>
        <w:rPr>
          <w:sz w:val="20"/>
          <w:szCs w:val="20"/>
        </w:rPr>
      </w:pPr>
    </w:p>
    <w:p w14:paraId="68929D82" w14:textId="77777777" w:rsidR="00027FBF" w:rsidRDefault="00000000">
      <w:pPr>
        <w:keepNext/>
        <w:keepLines/>
        <w:spacing w:before="44" w:after="3" w:line="240" w:lineRule="auto"/>
        <w:rPr>
          <w:sz w:val="20"/>
          <w:szCs w:val="20"/>
        </w:rPr>
      </w:pPr>
      <w:r>
        <w:rPr>
          <w:b/>
          <w:color w:val="C00000"/>
          <w:sz w:val="20"/>
          <w:szCs w:val="20"/>
        </w:rPr>
        <w:t>MALAKOFF MÉDÉRIC, 12/2013 - 09/2018 (4 ans 10 mois)</w:t>
      </w:r>
    </w:p>
    <w:p w14:paraId="5BB16123" w14:textId="77777777" w:rsidR="00027FBF" w:rsidRDefault="00000000">
      <w:pPr>
        <w:keepNext/>
        <w:keepLines/>
        <w:spacing w:after="4" w:line="240" w:lineRule="auto"/>
        <w:rPr>
          <w:sz w:val="20"/>
          <w:szCs w:val="20"/>
        </w:rPr>
      </w:pPr>
      <w:r>
        <w:rPr>
          <w:b/>
          <w:i/>
          <w:sz w:val="20"/>
          <w:szCs w:val="20"/>
        </w:rPr>
        <w:t>Directeur GRC / Responsable opérationnel SSI / Adjoint Contrôle Interne</w:t>
      </w:r>
    </w:p>
    <w:p w14:paraId="3EE85E8C" w14:textId="77777777" w:rsidR="00027FBF" w:rsidRDefault="00000000">
      <w:pPr>
        <w:keepLines/>
        <w:spacing w:after="2" w:line="240" w:lineRule="auto"/>
        <w:ind w:left="230" w:hanging="144"/>
        <w:rPr>
          <w:sz w:val="20"/>
          <w:szCs w:val="20"/>
        </w:rPr>
      </w:pPr>
      <w:r>
        <w:rPr>
          <w:sz w:val="20"/>
          <w:szCs w:val="20"/>
        </w:rPr>
        <w:t>▪ Pilotage de la stratégie GRC et de la gouvernance cybersécurité sur un périmètre DSI d’environ 1 000 collaborateurs.</w:t>
      </w:r>
    </w:p>
    <w:p w14:paraId="737FEABC" w14:textId="77777777" w:rsidR="00027FBF" w:rsidRDefault="00000000">
      <w:pPr>
        <w:keepLines/>
        <w:spacing w:after="2" w:line="240" w:lineRule="auto"/>
        <w:ind w:left="230" w:hanging="144"/>
        <w:rPr>
          <w:sz w:val="20"/>
          <w:szCs w:val="20"/>
        </w:rPr>
      </w:pPr>
      <w:r>
        <w:rPr>
          <w:sz w:val="20"/>
          <w:szCs w:val="20"/>
        </w:rPr>
        <w:t>▪ Structuration IAM/IGA, comités SSI et risques, KPI/KRI, plans de remédiation, contrôles permanents et industrialisation de contrôles via RPA.</w:t>
      </w:r>
    </w:p>
    <w:p w14:paraId="0D5D3240" w14:textId="77777777" w:rsidR="00027FBF" w:rsidRDefault="00000000">
      <w:pPr>
        <w:keepLines/>
        <w:spacing w:after="2" w:line="240" w:lineRule="auto"/>
        <w:ind w:left="230" w:hanging="144"/>
        <w:rPr>
          <w:sz w:val="20"/>
          <w:szCs w:val="20"/>
        </w:rPr>
      </w:pPr>
      <w:r>
        <w:rPr>
          <w:sz w:val="18"/>
        </w:rPr>
        <w:t>▪ Pilotage de programmes de cybersécurité, de gouvernance SOC et de build SIEM, gestion des risques IT, sécurisation des processus critiques, mécanismes d’escalade et suivi des recommandations d’audit.</w:t>
      </w:r>
    </w:p>
    <w:p w14:paraId="4B5D6FC8" w14:textId="77777777" w:rsidR="00027FBF" w:rsidRDefault="00000000">
      <w:pPr>
        <w:keepLines/>
        <w:spacing w:after="2" w:line="240" w:lineRule="auto"/>
        <w:ind w:left="230" w:hanging="144"/>
        <w:rPr>
          <w:sz w:val="20"/>
          <w:szCs w:val="20"/>
        </w:rPr>
      </w:pPr>
      <w:r>
        <w:rPr>
          <w:sz w:val="20"/>
          <w:szCs w:val="20"/>
        </w:rPr>
        <w:t>▪ Structuration et animation d’une filière sécurité de 40 personnes et management d’équipes pluridisciplinaires jusqu’à 45 personnes.</w:t>
      </w:r>
    </w:p>
    <w:p w14:paraId="5A961DC7" w14:textId="77777777" w:rsidR="00027FBF" w:rsidRDefault="00000000">
      <w:pPr>
        <w:keepLines/>
        <w:spacing w:before="1" w:after="4" w:line="240" w:lineRule="auto"/>
        <w:rPr>
          <w:sz w:val="20"/>
          <w:szCs w:val="20"/>
        </w:rPr>
      </w:pPr>
      <w:r>
        <w:rPr>
          <w:b/>
          <w:sz w:val="18"/>
        </w:rPr>
        <w:t>Environnement / mots-clés</w:t>
      </w:r>
      <w:r>
        <w:rPr>
          <w:sz w:val="18"/>
        </w:rPr>
        <w:t xml:space="preserve"> : Assurance / protection sociale, gouvernance SOC, SIEM, GRC, IAM/IGA, RPA, contrôle interne, audits, plans de remédiation, KPI/KRI</w:t>
      </w:r>
    </w:p>
    <w:p w14:paraId="252E4037" w14:textId="77777777" w:rsidR="00027FBF" w:rsidRDefault="00027FBF">
      <w:pPr>
        <w:keepLines/>
        <w:spacing w:before="1" w:after="4" w:line="240" w:lineRule="auto"/>
        <w:rPr>
          <w:sz w:val="20"/>
          <w:szCs w:val="20"/>
        </w:rPr>
      </w:pPr>
    </w:p>
    <w:p w14:paraId="4C013821" w14:textId="77777777" w:rsidR="00027FBF" w:rsidRDefault="00000000">
      <w:pPr>
        <w:keepNext/>
        <w:keepLines/>
        <w:spacing w:before="44" w:after="3" w:line="240" w:lineRule="auto"/>
        <w:rPr>
          <w:sz w:val="20"/>
          <w:szCs w:val="20"/>
        </w:rPr>
      </w:pPr>
      <w:r>
        <w:rPr>
          <w:b/>
          <w:color w:val="C00000"/>
          <w:sz w:val="20"/>
          <w:szCs w:val="20"/>
        </w:rPr>
        <w:lastRenderedPageBreak/>
        <w:t>SOCIÉTÉ GÉNÉRALE, 05/2012 - 12/2013 (1 an 8 mois)</w:t>
      </w:r>
    </w:p>
    <w:p w14:paraId="65D325D9" w14:textId="77777777" w:rsidR="00027FBF" w:rsidRDefault="00000000">
      <w:pPr>
        <w:keepNext/>
        <w:keepLines/>
        <w:spacing w:after="4" w:line="240" w:lineRule="auto"/>
        <w:rPr>
          <w:sz w:val="20"/>
          <w:szCs w:val="20"/>
        </w:rPr>
      </w:pPr>
      <w:r>
        <w:rPr>
          <w:b/>
          <w:i/>
          <w:sz w:val="20"/>
          <w:szCs w:val="20"/>
        </w:rPr>
        <w:t>Directeur de projets / Directeur Plan de Reprise d’Activité</w:t>
      </w:r>
    </w:p>
    <w:p w14:paraId="705FEA31" w14:textId="77777777" w:rsidR="00027FBF" w:rsidRDefault="00000000">
      <w:pPr>
        <w:keepLines/>
        <w:spacing w:after="2" w:line="240" w:lineRule="auto"/>
        <w:ind w:left="230" w:hanging="144"/>
        <w:rPr>
          <w:sz w:val="20"/>
          <w:szCs w:val="20"/>
        </w:rPr>
      </w:pPr>
      <w:r>
        <w:rPr>
          <w:sz w:val="20"/>
          <w:szCs w:val="20"/>
        </w:rPr>
        <w:t>▪ Pilotage d’un programme d’industrialisation et de modernisation de la production informatique.</w:t>
      </w:r>
    </w:p>
    <w:p w14:paraId="2AA85D60" w14:textId="77777777" w:rsidR="00027FBF" w:rsidRDefault="00000000">
      <w:pPr>
        <w:keepLines/>
        <w:spacing w:after="2" w:line="240" w:lineRule="auto"/>
        <w:ind w:left="230" w:hanging="144"/>
        <w:rPr>
          <w:sz w:val="20"/>
          <w:szCs w:val="20"/>
        </w:rPr>
      </w:pPr>
      <w:r>
        <w:rPr>
          <w:sz w:val="20"/>
          <w:szCs w:val="20"/>
        </w:rPr>
        <w:t>▪ Revue du PRA, mise en œuvre des recommandations d’audit et renforcement de l’organisation de reprise.</w:t>
      </w:r>
    </w:p>
    <w:p w14:paraId="18130438" w14:textId="77777777" w:rsidR="00027FBF" w:rsidRDefault="00000000">
      <w:pPr>
        <w:keepLines/>
        <w:spacing w:before="1" w:after="4" w:line="240" w:lineRule="auto"/>
        <w:rPr>
          <w:sz w:val="20"/>
          <w:szCs w:val="20"/>
        </w:rPr>
      </w:pPr>
      <w:r>
        <w:rPr>
          <w:b/>
          <w:sz w:val="20"/>
          <w:szCs w:val="20"/>
        </w:rPr>
        <w:t>Environnement / mots-</w:t>
      </w:r>
      <w:proofErr w:type="gramStart"/>
      <w:r>
        <w:rPr>
          <w:b/>
          <w:sz w:val="20"/>
          <w:szCs w:val="20"/>
        </w:rPr>
        <w:t>clés :</w:t>
      </w:r>
      <w:proofErr w:type="gramEnd"/>
      <w:r>
        <w:rPr>
          <w:b/>
          <w:sz w:val="20"/>
          <w:szCs w:val="20"/>
        </w:rPr>
        <w:t xml:space="preserve"> </w:t>
      </w:r>
      <w:r>
        <w:rPr>
          <w:sz w:val="20"/>
          <w:szCs w:val="20"/>
        </w:rPr>
        <w:t xml:space="preserve">Production IT, PRA, audit, </w:t>
      </w:r>
      <w:proofErr w:type="spellStart"/>
      <w:r>
        <w:rPr>
          <w:sz w:val="20"/>
          <w:szCs w:val="20"/>
        </w:rPr>
        <w:t>organisation</w:t>
      </w:r>
      <w:proofErr w:type="spellEnd"/>
      <w:r>
        <w:rPr>
          <w:sz w:val="20"/>
          <w:szCs w:val="20"/>
        </w:rPr>
        <w:t xml:space="preserve">, </w:t>
      </w:r>
      <w:proofErr w:type="spellStart"/>
      <w:r>
        <w:rPr>
          <w:sz w:val="20"/>
          <w:szCs w:val="20"/>
        </w:rPr>
        <w:t>modernisation</w:t>
      </w:r>
      <w:proofErr w:type="spellEnd"/>
      <w:r>
        <w:rPr>
          <w:sz w:val="20"/>
          <w:szCs w:val="20"/>
        </w:rPr>
        <w:t xml:space="preserve">, gestion de </w:t>
      </w:r>
      <w:proofErr w:type="spellStart"/>
      <w:r>
        <w:rPr>
          <w:sz w:val="20"/>
          <w:szCs w:val="20"/>
        </w:rPr>
        <w:t>programme</w:t>
      </w:r>
      <w:proofErr w:type="spellEnd"/>
    </w:p>
    <w:p w14:paraId="29150D5E" w14:textId="77777777" w:rsidR="00027FBF" w:rsidRDefault="00027FBF">
      <w:pPr>
        <w:keepLines/>
        <w:spacing w:before="1" w:after="4" w:line="240" w:lineRule="auto"/>
        <w:rPr>
          <w:sz w:val="20"/>
          <w:szCs w:val="20"/>
        </w:rPr>
      </w:pPr>
    </w:p>
    <w:p w14:paraId="2C9591BE" w14:textId="77777777" w:rsidR="00027FBF" w:rsidRDefault="00000000">
      <w:pPr>
        <w:keepNext/>
        <w:keepLines/>
        <w:spacing w:before="44" w:after="3" w:line="240" w:lineRule="auto"/>
        <w:rPr>
          <w:sz w:val="20"/>
          <w:szCs w:val="20"/>
        </w:rPr>
      </w:pPr>
      <w:r>
        <w:rPr>
          <w:b/>
          <w:color w:val="C00000"/>
          <w:sz w:val="20"/>
          <w:szCs w:val="20"/>
        </w:rPr>
        <w:t>VOLKSWAGEN AG, 10/2011 - 04/2012 (7 mois)</w:t>
      </w:r>
    </w:p>
    <w:p w14:paraId="0104DEC0" w14:textId="77777777" w:rsidR="00027FBF" w:rsidRDefault="00000000">
      <w:pPr>
        <w:keepNext/>
        <w:keepLines/>
        <w:spacing w:after="4" w:line="240" w:lineRule="auto"/>
        <w:rPr>
          <w:sz w:val="20"/>
          <w:szCs w:val="20"/>
        </w:rPr>
      </w:pPr>
      <w:r>
        <w:rPr>
          <w:b/>
          <w:i/>
          <w:sz w:val="20"/>
          <w:szCs w:val="20"/>
        </w:rPr>
        <w:t>Directeur de programme</w:t>
      </w:r>
    </w:p>
    <w:p w14:paraId="32E20C1F" w14:textId="77777777" w:rsidR="00027FBF" w:rsidRDefault="00000000">
      <w:pPr>
        <w:keepLines/>
        <w:spacing w:after="2" w:line="240" w:lineRule="auto"/>
        <w:ind w:left="230" w:hanging="144"/>
        <w:rPr>
          <w:sz w:val="20"/>
          <w:szCs w:val="20"/>
        </w:rPr>
      </w:pPr>
      <w:r>
        <w:rPr>
          <w:sz w:val="20"/>
          <w:szCs w:val="20"/>
        </w:rPr>
        <w:t>▪ Pilotage du déploiement d’un Sales Dealer Assistant dans le réseau de concessions, coordination des parties prenantes et accompagnement du changement.</w:t>
      </w:r>
    </w:p>
    <w:p w14:paraId="24F7C6B9" w14:textId="77777777" w:rsidR="00027FBF" w:rsidRDefault="00000000">
      <w:pPr>
        <w:keepLines/>
        <w:spacing w:before="1" w:after="4" w:line="240" w:lineRule="auto"/>
        <w:rPr>
          <w:sz w:val="20"/>
          <w:szCs w:val="20"/>
        </w:rPr>
      </w:pPr>
      <w:r>
        <w:rPr>
          <w:b/>
          <w:sz w:val="20"/>
          <w:szCs w:val="20"/>
        </w:rPr>
        <w:t>Environnement / mots-</w:t>
      </w:r>
      <w:proofErr w:type="gramStart"/>
      <w:r>
        <w:rPr>
          <w:b/>
          <w:sz w:val="20"/>
          <w:szCs w:val="20"/>
        </w:rPr>
        <w:t>clés :</w:t>
      </w:r>
      <w:proofErr w:type="gramEnd"/>
      <w:r>
        <w:rPr>
          <w:b/>
          <w:sz w:val="20"/>
          <w:szCs w:val="20"/>
        </w:rPr>
        <w:t xml:space="preserve"> </w:t>
      </w:r>
      <w:r>
        <w:rPr>
          <w:sz w:val="20"/>
          <w:szCs w:val="20"/>
        </w:rPr>
        <w:t xml:space="preserve">Programme international, déploiement, réseau de concessions, </w:t>
      </w:r>
      <w:proofErr w:type="spellStart"/>
      <w:r>
        <w:rPr>
          <w:sz w:val="20"/>
          <w:szCs w:val="20"/>
        </w:rPr>
        <w:t>conduite</w:t>
      </w:r>
      <w:proofErr w:type="spellEnd"/>
      <w:r>
        <w:rPr>
          <w:sz w:val="20"/>
          <w:szCs w:val="20"/>
        </w:rPr>
        <w:t xml:space="preserve"> du </w:t>
      </w:r>
      <w:proofErr w:type="spellStart"/>
      <w:r>
        <w:rPr>
          <w:sz w:val="20"/>
          <w:szCs w:val="20"/>
        </w:rPr>
        <w:t>changement</w:t>
      </w:r>
      <w:proofErr w:type="spellEnd"/>
    </w:p>
    <w:p w14:paraId="726D8564" w14:textId="77777777" w:rsidR="00027FBF" w:rsidRDefault="00027FBF">
      <w:pPr>
        <w:keepLines/>
        <w:spacing w:before="1" w:after="4" w:line="240" w:lineRule="auto"/>
        <w:rPr>
          <w:sz w:val="20"/>
          <w:szCs w:val="20"/>
        </w:rPr>
      </w:pPr>
    </w:p>
    <w:p w14:paraId="508F74CB" w14:textId="77777777" w:rsidR="00027FBF" w:rsidRDefault="00000000">
      <w:pPr>
        <w:keepNext/>
        <w:keepLines/>
        <w:spacing w:before="44" w:after="3" w:line="240" w:lineRule="auto"/>
        <w:rPr>
          <w:sz w:val="20"/>
          <w:szCs w:val="20"/>
        </w:rPr>
      </w:pPr>
      <w:r>
        <w:rPr>
          <w:b/>
          <w:color w:val="C00000"/>
          <w:sz w:val="20"/>
          <w:szCs w:val="20"/>
        </w:rPr>
        <w:t>SOCIÉTÉ GÉNÉRALE / SGCIB, 09/2008 - 09/2011 (3 ans 1 mois)</w:t>
      </w:r>
    </w:p>
    <w:p w14:paraId="2A80802D" w14:textId="77777777" w:rsidR="00027FBF" w:rsidRDefault="00000000">
      <w:pPr>
        <w:keepNext/>
        <w:keepLines/>
        <w:spacing w:after="4" w:line="240" w:lineRule="auto"/>
        <w:rPr>
          <w:sz w:val="20"/>
          <w:szCs w:val="20"/>
        </w:rPr>
      </w:pPr>
      <w:r>
        <w:rPr>
          <w:b/>
          <w:i/>
          <w:sz w:val="20"/>
          <w:szCs w:val="20"/>
        </w:rPr>
        <w:t>Directeur de programme</w:t>
      </w:r>
    </w:p>
    <w:p w14:paraId="1EC21A36" w14:textId="77777777" w:rsidR="00027FBF" w:rsidRDefault="00000000">
      <w:pPr>
        <w:keepLines/>
        <w:spacing w:after="2" w:line="240" w:lineRule="auto"/>
        <w:ind w:left="230" w:hanging="144"/>
        <w:rPr>
          <w:sz w:val="20"/>
          <w:szCs w:val="20"/>
        </w:rPr>
      </w:pPr>
      <w:r>
        <w:rPr>
          <w:sz w:val="20"/>
          <w:szCs w:val="20"/>
        </w:rPr>
        <w:t xml:space="preserve">▪ Pilotage d’un portefeuille de projets IT et du RUN d’applications destinées aux salles de </w:t>
      </w:r>
      <w:proofErr w:type="gramStart"/>
      <w:r>
        <w:rPr>
          <w:sz w:val="20"/>
          <w:szCs w:val="20"/>
        </w:rPr>
        <w:t>marchés ;</w:t>
      </w:r>
      <w:proofErr w:type="gramEnd"/>
      <w:r>
        <w:rPr>
          <w:sz w:val="20"/>
          <w:szCs w:val="20"/>
        </w:rPr>
        <w:t xml:space="preserve"> gestion des engagements, risques, coûts et qualité de service.</w:t>
      </w:r>
    </w:p>
    <w:p w14:paraId="1774579F" w14:textId="77777777" w:rsidR="00027FBF" w:rsidRDefault="00000000">
      <w:pPr>
        <w:keepLines/>
        <w:spacing w:before="1" w:after="4" w:line="240" w:lineRule="auto"/>
        <w:rPr>
          <w:sz w:val="20"/>
          <w:szCs w:val="20"/>
        </w:rPr>
      </w:pPr>
      <w:r>
        <w:rPr>
          <w:b/>
          <w:sz w:val="20"/>
          <w:szCs w:val="20"/>
        </w:rPr>
        <w:t>Environnement / mots-</w:t>
      </w:r>
      <w:proofErr w:type="gramStart"/>
      <w:r>
        <w:rPr>
          <w:b/>
          <w:sz w:val="20"/>
          <w:szCs w:val="20"/>
        </w:rPr>
        <w:t>clés :</w:t>
      </w:r>
      <w:proofErr w:type="gramEnd"/>
      <w:r>
        <w:rPr>
          <w:b/>
          <w:sz w:val="20"/>
          <w:szCs w:val="20"/>
        </w:rPr>
        <w:t xml:space="preserve"> </w:t>
      </w:r>
      <w:r>
        <w:rPr>
          <w:sz w:val="20"/>
          <w:szCs w:val="20"/>
        </w:rPr>
        <w:t xml:space="preserve">Banque d’investissement, salles de </w:t>
      </w:r>
      <w:proofErr w:type="spellStart"/>
      <w:r>
        <w:rPr>
          <w:sz w:val="20"/>
          <w:szCs w:val="20"/>
        </w:rPr>
        <w:t>marchés</w:t>
      </w:r>
      <w:proofErr w:type="spellEnd"/>
      <w:r>
        <w:rPr>
          <w:sz w:val="20"/>
          <w:szCs w:val="20"/>
        </w:rPr>
        <w:t xml:space="preserve">, </w:t>
      </w:r>
      <w:proofErr w:type="spellStart"/>
      <w:r>
        <w:rPr>
          <w:sz w:val="20"/>
          <w:szCs w:val="20"/>
        </w:rPr>
        <w:t>portefeuille</w:t>
      </w:r>
      <w:proofErr w:type="spellEnd"/>
      <w:r>
        <w:rPr>
          <w:sz w:val="20"/>
          <w:szCs w:val="20"/>
        </w:rPr>
        <w:t xml:space="preserve"> </w:t>
      </w:r>
      <w:proofErr w:type="spellStart"/>
      <w:r>
        <w:rPr>
          <w:sz w:val="20"/>
          <w:szCs w:val="20"/>
        </w:rPr>
        <w:t>projets</w:t>
      </w:r>
      <w:proofErr w:type="spellEnd"/>
      <w:r>
        <w:rPr>
          <w:sz w:val="20"/>
          <w:szCs w:val="20"/>
        </w:rPr>
        <w:t xml:space="preserve">, RUN, </w:t>
      </w:r>
      <w:proofErr w:type="spellStart"/>
      <w:r>
        <w:rPr>
          <w:sz w:val="20"/>
          <w:szCs w:val="20"/>
        </w:rPr>
        <w:t>gouvernance</w:t>
      </w:r>
      <w:proofErr w:type="spellEnd"/>
    </w:p>
    <w:p w14:paraId="73FBCFE1" w14:textId="77777777" w:rsidR="00027FBF" w:rsidRDefault="00027FBF">
      <w:pPr>
        <w:keepLines/>
        <w:spacing w:before="1" w:after="4" w:line="240" w:lineRule="auto"/>
        <w:rPr>
          <w:sz w:val="20"/>
          <w:szCs w:val="20"/>
        </w:rPr>
      </w:pPr>
    </w:p>
    <w:p w14:paraId="6B8DAE90" w14:textId="77777777" w:rsidR="00027FBF" w:rsidRDefault="00027FBF">
      <w:pPr>
        <w:keepLines/>
        <w:spacing w:before="1" w:after="4" w:line="240" w:lineRule="auto"/>
        <w:rPr>
          <w:sz w:val="20"/>
          <w:szCs w:val="20"/>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75"/>
        <w:gridCol w:w="5175"/>
      </w:tblGrid>
      <w:tr w:rsidR="00027FBF" w14:paraId="20BE95B3" w14:textId="77777777">
        <w:tc>
          <w:tcPr>
            <w:tcW w:w="5175" w:type="dxa"/>
            <w:shd w:val="clear" w:color="auto" w:fill="C00000"/>
            <w:tcMar>
              <w:top w:w="35" w:type="dxa"/>
              <w:left w:w="95" w:type="dxa"/>
              <w:bottom w:w="35" w:type="dxa"/>
              <w:right w:w="75" w:type="dxa"/>
            </w:tcMar>
            <w:vAlign w:val="center"/>
          </w:tcPr>
          <w:p w14:paraId="34AFD5FE" w14:textId="1D54EB61" w:rsidR="00027FBF" w:rsidRDefault="00000000">
            <w:pPr>
              <w:keepLines/>
              <w:spacing w:after="0" w:line="240" w:lineRule="auto"/>
            </w:pPr>
            <w:r>
              <w:rPr>
                <w:sz w:val="20"/>
                <w:szCs w:val="20"/>
              </w:rPr>
              <w:br w:type="page"/>
            </w:r>
            <w:r>
              <w:rPr>
                <w:b/>
                <w:color w:val="FFFFFF"/>
                <w:sz w:val="18"/>
              </w:rPr>
              <w:t xml:space="preserve">FORMATIONS </w:t>
            </w:r>
          </w:p>
        </w:tc>
        <w:tc>
          <w:tcPr>
            <w:tcW w:w="5175" w:type="dxa"/>
            <w:tcBorders>
              <w:bottom w:val="single" w:sz="18" w:space="0" w:color="C00000"/>
            </w:tcBorders>
          </w:tcPr>
          <w:p w14:paraId="58B13156" w14:textId="77777777" w:rsidR="00027FBF" w:rsidRDefault="00027FBF"/>
        </w:tc>
      </w:tr>
    </w:tbl>
    <w:p w14:paraId="14DF79BD" w14:textId="77777777" w:rsidR="00F72CF0" w:rsidRDefault="00F72CF0">
      <w:pPr>
        <w:keepLines/>
        <w:spacing w:after="4" w:line="240" w:lineRule="auto"/>
        <w:rPr>
          <w:b/>
          <w:sz w:val="18"/>
          <w:szCs w:val="18"/>
        </w:rPr>
      </w:pPr>
    </w:p>
    <w:p w14:paraId="4A81A541" w14:textId="6040112B" w:rsidR="00027FBF" w:rsidRDefault="00000000">
      <w:pPr>
        <w:keepLines/>
        <w:spacing w:after="4" w:line="240" w:lineRule="auto"/>
        <w:rPr>
          <w:sz w:val="18"/>
          <w:szCs w:val="18"/>
        </w:rPr>
      </w:pPr>
      <w:proofErr w:type="gramStart"/>
      <w:r>
        <w:rPr>
          <w:b/>
          <w:sz w:val="18"/>
          <w:szCs w:val="18"/>
        </w:rPr>
        <w:t>Formation :</w:t>
      </w:r>
      <w:proofErr w:type="gramEnd"/>
      <w:r>
        <w:rPr>
          <w:b/>
          <w:sz w:val="18"/>
          <w:szCs w:val="18"/>
        </w:rPr>
        <w:t xml:space="preserve"> </w:t>
      </w:r>
      <w:r>
        <w:rPr>
          <w:sz w:val="18"/>
          <w:szCs w:val="18"/>
        </w:rPr>
        <w:t xml:space="preserve">Formation </w:t>
      </w:r>
      <w:proofErr w:type="spellStart"/>
      <w:r>
        <w:rPr>
          <w:sz w:val="18"/>
          <w:szCs w:val="18"/>
        </w:rPr>
        <w:t>informatique</w:t>
      </w:r>
      <w:proofErr w:type="spellEnd"/>
      <w:r>
        <w:rPr>
          <w:sz w:val="18"/>
          <w:szCs w:val="18"/>
        </w:rPr>
        <w:t xml:space="preserve"> - ECTEI (1992).</w:t>
      </w:r>
    </w:p>
    <w:p w14:paraId="35F047AA" w14:textId="77777777" w:rsidR="00F72CF0" w:rsidRDefault="00F72CF0">
      <w:pPr>
        <w:keepLines/>
        <w:spacing w:after="4" w:line="240" w:lineRule="auto"/>
        <w:rPr>
          <w:b/>
          <w:sz w:val="18"/>
          <w:szCs w:val="18"/>
        </w:rPr>
      </w:pPr>
    </w:p>
    <w:p w14:paraId="657018F0" w14:textId="77777777" w:rsidR="00F72CF0" w:rsidRDefault="00000000">
      <w:pPr>
        <w:keepLines/>
        <w:spacing w:after="4" w:line="240" w:lineRule="auto"/>
        <w:rPr>
          <w:b/>
          <w:sz w:val="18"/>
          <w:szCs w:val="18"/>
        </w:rPr>
      </w:pPr>
      <w:proofErr w:type="spellStart"/>
      <w:r>
        <w:rPr>
          <w:b/>
          <w:sz w:val="18"/>
          <w:szCs w:val="18"/>
        </w:rPr>
        <w:t>Référentiels</w:t>
      </w:r>
      <w:proofErr w:type="spellEnd"/>
      <w:r>
        <w:rPr>
          <w:b/>
          <w:sz w:val="18"/>
          <w:szCs w:val="18"/>
        </w:rPr>
        <w:t xml:space="preserve"> et </w:t>
      </w:r>
      <w:proofErr w:type="spellStart"/>
      <w:proofErr w:type="gramStart"/>
      <w:r>
        <w:rPr>
          <w:b/>
          <w:sz w:val="18"/>
          <w:szCs w:val="18"/>
        </w:rPr>
        <w:t>méthodes</w:t>
      </w:r>
      <w:proofErr w:type="spellEnd"/>
      <w:r>
        <w:rPr>
          <w:b/>
          <w:sz w:val="18"/>
          <w:szCs w:val="18"/>
        </w:rPr>
        <w:t xml:space="preserve"> :</w:t>
      </w:r>
      <w:proofErr w:type="gramEnd"/>
      <w:r>
        <w:rPr>
          <w:b/>
          <w:sz w:val="18"/>
          <w:szCs w:val="18"/>
        </w:rPr>
        <w:t xml:space="preserve"> </w:t>
      </w:r>
    </w:p>
    <w:p w14:paraId="2A6FB9EB" w14:textId="77777777" w:rsidR="00F72CF0" w:rsidRPr="00F72CF0" w:rsidRDefault="00000000" w:rsidP="00F72CF0">
      <w:pPr>
        <w:pStyle w:val="Paragraphedeliste"/>
        <w:keepLines/>
        <w:numPr>
          <w:ilvl w:val="0"/>
          <w:numId w:val="10"/>
        </w:numPr>
        <w:spacing w:after="4" w:line="240" w:lineRule="auto"/>
        <w:rPr>
          <w:sz w:val="18"/>
          <w:szCs w:val="18"/>
        </w:rPr>
      </w:pPr>
      <w:r w:rsidRPr="00F72CF0">
        <w:rPr>
          <w:sz w:val="18"/>
          <w:szCs w:val="18"/>
        </w:rPr>
        <w:t xml:space="preserve">ISO 27001/27002/27005, NIST CSF, LPM, DORA, NIS2, AI Act, RGPD, ITIL, COBIT, ISTQB, EBIOS </w:t>
      </w:r>
    </w:p>
    <w:p w14:paraId="6AAD956A" w14:textId="2034F38A" w:rsidR="00027FBF" w:rsidRPr="00F72CF0" w:rsidRDefault="00000000" w:rsidP="00F72CF0">
      <w:pPr>
        <w:pStyle w:val="Paragraphedeliste"/>
        <w:keepLines/>
        <w:numPr>
          <w:ilvl w:val="0"/>
          <w:numId w:val="10"/>
        </w:numPr>
        <w:spacing w:after="4" w:line="240" w:lineRule="auto"/>
        <w:rPr>
          <w:sz w:val="18"/>
          <w:szCs w:val="18"/>
        </w:rPr>
      </w:pPr>
      <w:proofErr w:type="spellStart"/>
      <w:r w:rsidRPr="00F72CF0">
        <w:rPr>
          <w:sz w:val="18"/>
          <w:szCs w:val="18"/>
        </w:rPr>
        <w:t>conduite</w:t>
      </w:r>
      <w:proofErr w:type="spellEnd"/>
      <w:r w:rsidRPr="00F72CF0">
        <w:rPr>
          <w:sz w:val="18"/>
          <w:szCs w:val="18"/>
        </w:rPr>
        <w:t xml:space="preserve"> </w:t>
      </w:r>
      <w:proofErr w:type="spellStart"/>
      <w:r w:rsidRPr="00F72CF0">
        <w:rPr>
          <w:sz w:val="18"/>
          <w:szCs w:val="18"/>
        </w:rPr>
        <w:t>d’homologation</w:t>
      </w:r>
      <w:proofErr w:type="spellEnd"/>
      <w:r w:rsidRPr="00F72CF0">
        <w:rPr>
          <w:sz w:val="18"/>
          <w:szCs w:val="18"/>
        </w:rPr>
        <w:t xml:space="preserve"> et coordination </w:t>
      </w:r>
      <w:proofErr w:type="spellStart"/>
      <w:r w:rsidRPr="00F72CF0">
        <w:rPr>
          <w:sz w:val="18"/>
          <w:szCs w:val="18"/>
        </w:rPr>
        <w:t>d’audits</w:t>
      </w:r>
      <w:proofErr w:type="spellEnd"/>
      <w:r w:rsidRPr="00F72CF0">
        <w:rPr>
          <w:sz w:val="18"/>
          <w:szCs w:val="18"/>
        </w:rPr>
        <w:t xml:space="preserve"> PASSI.</w:t>
      </w:r>
    </w:p>
    <w:p w14:paraId="5EAB6E4E" w14:textId="77777777" w:rsidR="00F72CF0" w:rsidRDefault="00F72CF0">
      <w:pPr>
        <w:keepLines/>
        <w:spacing w:after="4" w:line="240" w:lineRule="auto"/>
        <w:rPr>
          <w:b/>
          <w:sz w:val="18"/>
          <w:szCs w:val="18"/>
        </w:rPr>
      </w:pPr>
    </w:p>
    <w:p w14:paraId="2049E571" w14:textId="5DFA195A" w:rsidR="00027FBF" w:rsidRDefault="00000000">
      <w:pPr>
        <w:keepLines/>
        <w:spacing w:after="4" w:line="240" w:lineRule="auto"/>
        <w:rPr>
          <w:sz w:val="18"/>
          <w:szCs w:val="18"/>
        </w:rPr>
      </w:pPr>
      <w:proofErr w:type="spellStart"/>
      <w:proofErr w:type="gramStart"/>
      <w:r>
        <w:rPr>
          <w:b/>
          <w:sz w:val="18"/>
          <w:szCs w:val="18"/>
        </w:rPr>
        <w:t>Langues</w:t>
      </w:r>
      <w:proofErr w:type="spellEnd"/>
      <w:r>
        <w:rPr>
          <w:b/>
          <w:sz w:val="18"/>
          <w:szCs w:val="18"/>
        </w:rPr>
        <w:t xml:space="preserve"> :</w:t>
      </w:r>
      <w:proofErr w:type="gramEnd"/>
      <w:r>
        <w:rPr>
          <w:b/>
          <w:sz w:val="18"/>
          <w:szCs w:val="18"/>
        </w:rPr>
        <w:t xml:space="preserve"> </w:t>
      </w:r>
      <w:r>
        <w:rPr>
          <w:sz w:val="18"/>
          <w:szCs w:val="18"/>
        </w:rPr>
        <w:t xml:space="preserve">Français </w:t>
      </w:r>
      <w:proofErr w:type="spellStart"/>
      <w:r>
        <w:rPr>
          <w:sz w:val="18"/>
          <w:szCs w:val="18"/>
        </w:rPr>
        <w:t>maternel</w:t>
      </w:r>
      <w:proofErr w:type="spellEnd"/>
      <w:r>
        <w:rPr>
          <w:sz w:val="18"/>
          <w:szCs w:val="18"/>
        </w:rPr>
        <w:t xml:space="preserve"> - Anglais lu, parlé et écrit.</w:t>
      </w:r>
    </w:p>
    <w:p w14:paraId="11346E66" w14:textId="77777777" w:rsidR="00F72CF0" w:rsidRDefault="00F72CF0">
      <w:pPr>
        <w:keepLines/>
        <w:spacing w:after="4" w:line="240" w:lineRule="auto"/>
        <w:rPr>
          <w:b/>
          <w:sz w:val="18"/>
          <w:szCs w:val="18"/>
        </w:rPr>
      </w:pPr>
    </w:p>
    <w:p w14:paraId="4DF3E309" w14:textId="71B393A7" w:rsidR="00027FBF" w:rsidRDefault="00000000">
      <w:pPr>
        <w:keepLines/>
        <w:spacing w:after="4" w:line="240" w:lineRule="auto"/>
        <w:rPr>
          <w:sz w:val="18"/>
          <w:szCs w:val="18"/>
        </w:rPr>
      </w:pPr>
      <w:proofErr w:type="spellStart"/>
      <w:proofErr w:type="gramStart"/>
      <w:r>
        <w:rPr>
          <w:b/>
          <w:sz w:val="18"/>
          <w:szCs w:val="18"/>
        </w:rPr>
        <w:t>Disponibilité</w:t>
      </w:r>
      <w:proofErr w:type="spellEnd"/>
      <w:r>
        <w:rPr>
          <w:b/>
          <w:sz w:val="18"/>
          <w:szCs w:val="18"/>
        </w:rPr>
        <w:t xml:space="preserve"> :</w:t>
      </w:r>
      <w:proofErr w:type="gramEnd"/>
      <w:r>
        <w:rPr>
          <w:b/>
          <w:sz w:val="18"/>
          <w:szCs w:val="18"/>
        </w:rPr>
        <w:t xml:space="preserve"> </w:t>
      </w:r>
      <w:r>
        <w:rPr>
          <w:sz w:val="18"/>
          <w:szCs w:val="18"/>
        </w:rPr>
        <w:t xml:space="preserve">À </w:t>
      </w:r>
      <w:proofErr w:type="spellStart"/>
      <w:r>
        <w:rPr>
          <w:sz w:val="18"/>
          <w:szCs w:val="18"/>
        </w:rPr>
        <w:t>compter</w:t>
      </w:r>
      <w:proofErr w:type="spellEnd"/>
      <w:r>
        <w:rPr>
          <w:sz w:val="18"/>
          <w:szCs w:val="18"/>
        </w:rPr>
        <w:t xml:space="preserve"> du 1er septembre 2026 - mobilité Paris / Île-de-France.</w:t>
      </w:r>
    </w:p>
    <w:sectPr w:rsidR="00027FBF">
      <w:headerReference w:type="default" r:id="rId8"/>
      <w:footerReference w:type="default" r:id="rId9"/>
      <w:pgSz w:w="11905" w:h="16838"/>
      <w:pgMar w:top="1843" w:right="720" w:bottom="922" w:left="835" w:header="202"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195ED" w14:textId="77777777" w:rsidR="00401E39" w:rsidRDefault="00401E39">
      <w:pPr>
        <w:spacing w:after="0" w:line="240" w:lineRule="auto"/>
      </w:pPr>
      <w:r>
        <w:separator/>
      </w:r>
    </w:p>
  </w:endnote>
  <w:endnote w:type="continuationSeparator" w:id="0">
    <w:p w14:paraId="26A29E7E" w14:textId="77777777" w:rsidR="00401E39" w:rsidRDefault="00401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A7745" w14:textId="77777777" w:rsidR="00027FBF" w:rsidRDefault="00027FBF">
    <w:pPr>
      <w:pStyle w:val="Pieddepage"/>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872"/>
    </w:tblGrid>
    <w:tr w:rsidR="00027FBF" w14:paraId="416CEF43" w14:textId="77777777">
      <w:trPr>
        <w:jc w:val="center"/>
      </w:trPr>
      <w:tc>
        <w:tcPr>
          <w:tcW w:w="10872" w:type="dxa"/>
          <w:tcBorders>
            <w:top w:val="single" w:sz="10" w:space="0" w:color="666666"/>
          </w:tcBorders>
          <w:tcMar>
            <w:top w:w="20" w:type="dxa"/>
            <w:left w:w="0" w:type="dxa"/>
            <w:bottom w:w="0" w:type="dxa"/>
            <w:right w:w="0" w:type="dxa"/>
          </w:tcMar>
        </w:tcPr>
        <w:p w14:paraId="652E6F33" w14:textId="77777777" w:rsidR="00027FBF" w:rsidRDefault="00000000">
          <w:pPr>
            <w:spacing w:after="0" w:line="240" w:lineRule="auto"/>
            <w:jc w:val="center"/>
          </w:pPr>
          <w:r>
            <w:rPr>
              <w:color w:val="666666"/>
              <w:sz w:val="13"/>
            </w:rPr>
            <w:t>FASTOR GIE - Chamfleury - 9 rue Georges Cloarec 27320 LA MADELEINE DE NONANCOURT</w:t>
          </w:r>
        </w:p>
      </w:tc>
    </w:tr>
    <w:tr w:rsidR="00027FBF" w14:paraId="3D49C357" w14:textId="77777777">
      <w:trPr>
        <w:jc w:val="center"/>
      </w:trPr>
      <w:tc>
        <w:tcPr>
          <w:tcW w:w="10872" w:type="dxa"/>
          <w:tcMar>
            <w:top w:w="20" w:type="dxa"/>
            <w:left w:w="0" w:type="dxa"/>
            <w:bottom w:w="0" w:type="dxa"/>
            <w:right w:w="0" w:type="dxa"/>
          </w:tcMar>
        </w:tcPr>
        <w:p w14:paraId="0B23C139" w14:textId="77777777" w:rsidR="00027FBF" w:rsidRDefault="00000000">
          <w:pPr>
            <w:spacing w:after="0" w:line="240" w:lineRule="auto"/>
            <w:jc w:val="center"/>
          </w:pPr>
          <w:r>
            <w:rPr>
              <w:color w:val="666666"/>
              <w:sz w:val="13"/>
            </w:rPr>
            <w:t>GIE au capital de 40 000 € - RCS Évreux 808 389 464</w:t>
          </w:r>
        </w:p>
        <w:p w14:paraId="75B8600D" w14:textId="77777777" w:rsidR="00027FBF" w:rsidRDefault="00000000">
          <w:pPr>
            <w:spacing w:after="0" w:line="240" w:lineRule="auto"/>
            <w:jc w:val="center"/>
          </w:pPr>
          <w:r>
            <w:rPr>
              <w:color w:val="777777"/>
              <w:sz w:val="12"/>
            </w:rPr>
            <w:t>Tél. 02 32 37 71 50 - E-mail : service.client@fastor.com - Site : www.fastor.com</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C9997" w14:textId="77777777" w:rsidR="00401E39" w:rsidRDefault="00401E39">
      <w:pPr>
        <w:spacing w:after="0" w:line="240" w:lineRule="auto"/>
      </w:pPr>
      <w:r>
        <w:separator/>
      </w:r>
    </w:p>
  </w:footnote>
  <w:footnote w:type="continuationSeparator" w:id="0">
    <w:p w14:paraId="56E70701" w14:textId="77777777" w:rsidR="00401E39" w:rsidRDefault="00401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2A7B" w14:textId="77777777" w:rsidR="00027FBF" w:rsidRDefault="00027FBF">
    <w:pPr>
      <w:pStyle w:val="En-tte"/>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36"/>
      <w:gridCol w:w="5436"/>
    </w:tblGrid>
    <w:tr w:rsidR="00027FBF" w14:paraId="4655DCA6" w14:textId="77777777">
      <w:trPr>
        <w:jc w:val="center"/>
      </w:trPr>
      <w:tc>
        <w:tcPr>
          <w:tcW w:w="5436" w:type="dxa"/>
          <w:tcMar>
            <w:top w:w="0" w:type="dxa"/>
            <w:left w:w="0" w:type="dxa"/>
            <w:bottom w:w="0" w:type="dxa"/>
            <w:right w:w="0" w:type="dxa"/>
          </w:tcMar>
        </w:tcPr>
        <w:p w14:paraId="14397B8A" w14:textId="77777777" w:rsidR="00027FBF" w:rsidRDefault="00000000">
          <w:pPr>
            <w:spacing w:after="0" w:line="240" w:lineRule="auto"/>
          </w:pPr>
          <w:r>
            <w:rPr>
              <w:noProof/>
            </w:rPr>
            <w:drawing>
              <wp:inline distT="0" distB="0" distL="0" distR="0" wp14:anchorId="6B03C1F1" wp14:editId="0A3430A4">
                <wp:extent cx="1572768" cy="547483"/>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tor_logo_clean.png"/>
                        <pic:cNvPicPr/>
                      </pic:nvPicPr>
                      <pic:blipFill>
                        <a:blip r:embed="rId1"/>
                        <a:stretch>
                          <a:fillRect/>
                        </a:stretch>
                      </pic:blipFill>
                      <pic:spPr>
                        <a:xfrm>
                          <a:off x="0" y="0"/>
                          <a:ext cx="1572768" cy="547483"/>
                        </a:xfrm>
                        <a:prstGeom prst="rect">
                          <a:avLst/>
                        </a:prstGeom>
                      </pic:spPr>
                    </pic:pic>
                  </a:graphicData>
                </a:graphic>
              </wp:inline>
            </w:drawing>
          </w:r>
        </w:p>
        <w:p w14:paraId="7C452237" w14:textId="77777777" w:rsidR="00027FBF" w:rsidRDefault="00000000">
          <w:pPr>
            <w:spacing w:after="0" w:line="240" w:lineRule="auto"/>
          </w:pPr>
          <w:r>
            <w:rPr>
              <w:color w:val="777777"/>
              <w:sz w:val="13"/>
            </w:rPr>
            <w:fldChar w:fldCharType="begin"/>
          </w:r>
          <w:r>
            <w:rPr>
              <w:color w:val="777777"/>
              <w:sz w:val="13"/>
            </w:rPr>
            <w:instrText>PAGE</w:instrText>
          </w:r>
          <w:r>
            <w:rPr>
              <w:color w:val="777777"/>
              <w:sz w:val="13"/>
            </w:rPr>
            <w:fldChar w:fldCharType="separate"/>
          </w:r>
          <w:r>
            <w:rPr>
              <w:noProof/>
              <w:color w:val="777777"/>
              <w:sz w:val="13"/>
            </w:rPr>
            <w:t>1</w:t>
          </w:r>
          <w:r>
            <w:rPr>
              <w:color w:val="777777"/>
              <w:sz w:val="13"/>
            </w:rPr>
            <w:fldChar w:fldCharType="end"/>
          </w:r>
          <w:r>
            <w:rPr>
              <w:color w:val="777777"/>
              <w:sz w:val="13"/>
            </w:rPr>
            <w:t>/</w:t>
          </w:r>
          <w:r>
            <w:rPr>
              <w:color w:val="777777"/>
              <w:sz w:val="13"/>
            </w:rPr>
            <w:fldChar w:fldCharType="begin"/>
          </w:r>
          <w:r>
            <w:rPr>
              <w:color w:val="777777"/>
              <w:sz w:val="13"/>
            </w:rPr>
            <w:instrText>NUMPAGES</w:instrText>
          </w:r>
          <w:r>
            <w:rPr>
              <w:color w:val="777777"/>
              <w:sz w:val="13"/>
            </w:rPr>
            <w:fldChar w:fldCharType="separate"/>
          </w:r>
          <w:r>
            <w:rPr>
              <w:noProof/>
              <w:color w:val="777777"/>
              <w:sz w:val="13"/>
            </w:rPr>
            <w:t>1</w:t>
          </w:r>
          <w:r>
            <w:rPr>
              <w:color w:val="777777"/>
              <w:sz w:val="13"/>
            </w:rPr>
            <w:fldChar w:fldCharType="end"/>
          </w:r>
        </w:p>
      </w:tc>
      <w:tc>
        <w:tcPr>
          <w:tcW w:w="5436" w:type="dxa"/>
          <w:tcMar>
            <w:top w:w="0" w:type="dxa"/>
            <w:left w:w="0" w:type="dxa"/>
            <w:bottom w:w="0" w:type="dxa"/>
            <w:right w:w="0" w:type="dxa"/>
          </w:tcMar>
        </w:tcPr>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2718"/>
            <w:gridCol w:w="2718"/>
          </w:tblGrid>
          <w:tr w:rsidR="00027FBF" w14:paraId="5F6418DB" w14:textId="77777777">
            <w:tc>
              <w:tcPr>
                <w:tcW w:w="2718" w:type="dxa"/>
                <w:tcBorders>
                  <w:right w:val="single" w:sz="5" w:space="0" w:color="777777"/>
                </w:tcBorders>
                <w:tcMar>
                  <w:top w:w="0" w:type="dxa"/>
                  <w:left w:w="15" w:type="dxa"/>
                  <w:bottom w:w="0" w:type="dxa"/>
                  <w:right w:w="15" w:type="dxa"/>
                </w:tcMar>
              </w:tcPr>
              <w:p w14:paraId="033E83F5" w14:textId="77777777" w:rsidR="00027FBF" w:rsidRDefault="00000000">
                <w:pPr>
                  <w:spacing w:after="0" w:line="228" w:lineRule="auto"/>
                  <w:jc w:val="right"/>
                </w:pPr>
                <w:r>
                  <w:rPr>
                    <w:color w:val="666666"/>
                    <w:sz w:val="10"/>
                  </w:rPr>
                  <w:t>ADEXTAN</w:t>
                </w:r>
              </w:p>
              <w:p w14:paraId="1058F7BE" w14:textId="77777777" w:rsidR="00027FBF" w:rsidRDefault="00000000">
                <w:pPr>
                  <w:spacing w:after="0" w:line="228" w:lineRule="auto"/>
                  <w:jc w:val="right"/>
                </w:pPr>
                <w:r>
                  <w:rPr>
                    <w:color w:val="666666"/>
                    <w:sz w:val="10"/>
                  </w:rPr>
                  <w:t>BIFORA DATA CONSULTING</w:t>
                </w:r>
              </w:p>
              <w:p w14:paraId="4024EE2C" w14:textId="77777777" w:rsidR="00027FBF" w:rsidRDefault="00000000">
                <w:pPr>
                  <w:spacing w:after="0" w:line="228" w:lineRule="auto"/>
                  <w:jc w:val="right"/>
                </w:pPr>
                <w:r>
                  <w:rPr>
                    <w:color w:val="666666"/>
                    <w:sz w:val="10"/>
                  </w:rPr>
                  <w:t>CONFIRM IT</w:t>
                </w:r>
              </w:p>
              <w:p w14:paraId="63D1D6AA" w14:textId="77777777" w:rsidR="00027FBF" w:rsidRDefault="00000000">
                <w:pPr>
                  <w:spacing w:after="0" w:line="228" w:lineRule="auto"/>
                  <w:jc w:val="right"/>
                </w:pPr>
                <w:r>
                  <w:rPr>
                    <w:color w:val="666666"/>
                    <w:sz w:val="10"/>
                  </w:rPr>
                  <w:t>ENGINOV</w:t>
                </w:r>
              </w:p>
              <w:p w14:paraId="042518F2" w14:textId="77777777" w:rsidR="00027FBF" w:rsidRDefault="00000000">
                <w:pPr>
                  <w:spacing w:after="0" w:line="228" w:lineRule="auto"/>
                  <w:jc w:val="right"/>
                </w:pPr>
                <w:r>
                  <w:rPr>
                    <w:color w:val="666666"/>
                    <w:sz w:val="10"/>
                  </w:rPr>
                  <w:t>EXTEAM</w:t>
                </w:r>
              </w:p>
              <w:p w14:paraId="1E3A9F95" w14:textId="77777777" w:rsidR="00027FBF" w:rsidRDefault="00000000">
                <w:pPr>
                  <w:spacing w:after="0" w:line="228" w:lineRule="auto"/>
                  <w:jc w:val="right"/>
                </w:pPr>
                <w:r>
                  <w:rPr>
                    <w:color w:val="666666"/>
                    <w:sz w:val="10"/>
                  </w:rPr>
                  <w:t>FASTOR INGENIERIE</w:t>
                </w:r>
              </w:p>
              <w:p w14:paraId="4A08DC4A" w14:textId="77777777" w:rsidR="00027FBF" w:rsidRDefault="00000000">
                <w:pPr>
                  <w:spacing w:after="0" w:line="228" w:lineRule="auto"/>
                  <w:jc w:val="right"/>
                </w:pPr>
                <w:r>
                  <w:rPr>
                    <w:color w:val="666666"/>
                    <w:sz w:val="10"/>
                  </w:rPr>
                  <w:t>HEXAGONE DIGITALE</w:t>
                </w:r>
              </w:p>
              <w:p w14:paraId="50F7CF75" w14:textId="77777777" w:rsidR="00027FBF" w:rsidRDefault="00000000">
                <w:pPr>
                  <w:spacing w:after="0" w:line="228" w:lineRule="auto"/>
                  <w:jc w:val="right"/>
                </w:pPr>
                <w:r>
                  <w:rPr>
                    <w:color w:val="666666"/>
                    <w:sz w:val="10"/>
                  </w:rPr>
                  <w:t>IGM</w:t>
                </w:r>
              </w:p>
              <w:p w14:paraId="4DDEADC5" w14:textId="77777777" w:rsidR="00027FBF" w:rsidRDefault="00000000">
                <w:pPr>
                  <w:spacing w:after="0" w:line="228" w:lineRule="auto"/>
                  <w:jc w:val="right"/>
                </w:pPr>
                <w:r>
                  <w:rPr>
                    <w:color w:val="666666"/>
                    <w:sz w:val="10"/>
                  </w:rPr>
                  <w:t>INSTILIA</w:t>
                </w:r>
              </w:p>
            </w:tc>
            <w:tc>
              <w:tcPr>
                <w:tcW w:w="2718" w:type="dxa"/>
                <w:tcMar>
                  <w:top w:w="0" w:type="dxa"/>
                  <w:left w:w="15" w:type="dxa"/>
                  <w:bottom w:w="0" w:type="dxa"/>
                  <w:right w:w="15" w:type="dxa"/>
                </w:tcMar>
              </w:tcPr>
              <w:p w14:paraId="72BD387A" w14:textId="77777777" w:rsidR="00027FBF" w:rsidRDefault="00000000">
                <w:pPr>
                  <w:spacing w:after="0" w:line="228" w:lineRule="auto"/>
                  <w:jc w:val="right"/>
                </w:pPr>
                <w:r>
                  <w:rPr>
                    <w:color w:val="666666"/>
                    <w:sz w:val="10"/>
                  </w:rPr>
                  <w:t>IZENCIA</w:t>
                </w:r>
              </w:p>
              <w:p w14:paraId="602C9F52" w14:textId="77777777" w:rsidR="00027FBF" w:rsidRDefault="00000000">
                <w:pPr>
                  <w:spacing w:after="0" w:line="228" w:lineRule="auto"/>
                  <w:jc w:val="right"/>
                </w:pPr>
                <w:r>
                  <w:rPr>
                    <w:color w:val="666666"/>
                    <w:sz w:val="10"/>
                  </w:rPr>
                  <w:t>MARTE</w:t>
                </w:r>
              </w:p>
              <w:p w14:paraId="2AE9087F" w14:textId="77777777" w:rsidR="00027FBF" w:rsidRDefault="00000000">
                <w:pPr>
                  <w:spacing w:after="0" w:line="228" w:lineRule="auto"/>
                  <w:jc w:val="right"/>
                </w:pPr>
                <w:r>
                  <w:rPr>
                    <w:color w:val="666666"/>
                    <w:sz w:val="10"/>
                  </w:rPr>
                  <w:t>OMICRONE</w:t>
                </w:r>
              </w:p>
              <w:p w14:paraId="48F7C5B4" w14:textId="77777777" w:rsidR="00027FBF" w:rsidRDefault="00000000">
                <w:pPr>
                  <w:spacing w:after="0" w:line="228" w:lineRule="auto"/>
                  <w:jc w:val="right"/>
                </w:pPr>
                <w:r>
                  <w:rPr>
                    <w:color w:val="666666"/>
                    <w:sz w:val="10"/>
                  </w:rPr>
                  <w:t>PARTENAIRE GC</w:t>
                </w:r>
              </w:p>
              <w:p w14:paraId="646874DD" w14:textId="77777777" w:rsidR="00027FBF" w:rsidRDefault="00000000">
                <w:pPr>
                  <w:spacing w:after="0" w:line="228" w:lineRule="auto"/>
                  <w:jc w:val="right"/>
                </w:pPr>
                <w:r>
                  <w:rPr>
                    <w:color w:val="666666"/>
                    <w:sz w:val="10"/>
                  </w:rPr>
                  <w:t>SAPIENS CONSULTING</w:t>
                </w:r>
              </w:p>
              <w:p w14:paraId="16582066" w14:textId="77777777" w:rsidR="00027FBF" w:rsidRDefault="00000000">
                <w:pPr>
                  <w:spacing w:after="0" w:line="228" w:lineRule="auto"/>
                  <w:jc w:val="right"/>
                </w:pPr>
                <w:r>
                  <w:rPr>
                    <w:color w:val="666666"/>
                    <w:sz w:val="10"/>
                  </w:rPr>
                  <w:t>SYMOLIA</w:t>
                </w:r>
              </w:p>
              <w:p w14:paraId="4DDFA1ED" w14:textId="77777777" w:rsidR="00027FBF" w:rsidRDefault="00000000">
                <w:pPr>
                  <w:spacing w:after="0" w:line="228" w:lineRule="auto"/>
                  <w:jc w:val="right"/>
                </w:pPr>
                <w:r>
                  <w:rPr>
                    <w:color w:val="666666"/>
                    <w:sz w:val="10"/>
                  </w:rPr>
                  <w:t>TIBCO</w:t>
                </w:r>
              </w:p>
              <w:p w14:paraId="1753D5C5" w14:textId="77777777" w:rsidR="00027FBF" w:rsidRDefault="00000000">
                <w:pPr>
                  <w:spacing w:after="0" w:line="228" w:lineRule="auto"/>
                  <w:jc w:val="right"/>
                </w:pPr>
                <w:r>
                  <w:rPr>
                    <w:b/>
                    <w:color w:val="C00000"/>
                    <w:sz w:val="10"/>
                  </w:rPr>
                  <w:t>TILENCIA</w:t>
                </w:r>
              </w:p>
              <w:p w14:paraId="063CA3C9" w14:textId="77777777" w:rsidR="00027FBF" w:rsidRDefault="00000000">
                <w:pPr>
                  <w:spacing w:after="0" w:line="228" w:lineRule="auto"/>
                  <w:jc w:val="right"/>
                </w:pPr>
                <w:r>
                  <w:rPr>
                    <w:color w:val="666666"/>
                    <w:sz w:val="10"/>
                  </w:rPr>
                  <w:t>YZZY</w:t>
                </w:r>
              </w:p>
            </w:tc>
          </w:tr>
        </w:tbl>
        <w:p w14:paraId="1E1A644D" w14:textId="77777777" w:rsidR="00027FBF" w:rsidRDefault="00027FBF"/>
        <w:p w14:paraId="7586902C" w14:textId="77777777" w:rsidR="00027FBF" w:rsidRDefault="00000000">
          <w:pPr>
            <w:spacing w:before="20" w:after="0" w:line="240" w:lineRule="auto"/>
            <w:jc w:val="right"/>
          </w:pPr>
          <w:r>
            <w:rPr>
              <w:b/>
              <w:color w:val="C00000"/>
              <w:sz w:val="20"/>
            </w:rPr>
            <w:t>LFO</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857267B"/>
    <w:multiLevelType w:val="hybridMultilevel"/>
    <w:tmpl w:val="0DC8F6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27001988">
    <w:abstractNumId w:val="8"/>
  </w:num>
  <w:num w:numId="2" w16cid:durableId="1679624840">
    <w:abstractNumId w:val="6"/>
  </w:num>
  <w:num w:numId="3" w16cid:durableId="291132856">
    <w:abstractNumId w:val="5"/>
  </w:num>
  <w:num w:numId="4" w16cid:durableId="809636633">
    <w:abstractNumId w:val="4"/>
  </w:num>
  <w:num w:numId="5" w16cid:durableId="1163161097">
    <w:abstractNumId w:val="7"/>
  </w:num>
  <w:num w:numId="6" w16cid:durableId="311056768">
    <w:abstractNumId w:val="3"/>
  </w:num>
  <w:num w:numId="7" w16cid:durableId="980034176">
    <w:abstractNumId w:val="2"/>
  </w:num>
  <w:num w:numId="8" w16cid:durableId="1104183002">
    <w:abstractNumId w:val="1"/>
  </w:num>
  <w:num w:numId="9" w16cid:durableId="1422483205">
    <w:abstractNumId w:val="0"/>
  </w:num>
  <w:num w:numId="10" w16cid:durableId="16409195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FBF"/>
    <w:rsid w:val="00034616"/>
    <w:rsid w:val="0006063C"/>
    <w:rsid w:val="0015074B"/>
    <w:rsid w:val="00263D21"/>
    <w:rsid w:val="0029639D"/>
    <w:rsid w:val="00326F90"/>
    <w:rsid w:val="003D294C"/>
    <w:rsid w:val="00401E39"/>
    <w:rsid w:val="00660509"/>
    <w:rsid w:val="00762631"/>
    <w:rsid w:val="009B1F6E"/>
    <w:rsid w:val="00AA1D8D"/>
    <w:rsid w:val="00B47730"/>
    <w:rsid w:val="00CA2793"/>
    <w:rsid w:val="00CB0664"/>
    <w:rsid w:val="00E54830"/>
    <w:rsid w:val="00E9023E"/>
    <w:rsid w:val="00F433C9"/>
    <w:rsid w:val="00F72C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14542B"/>
  <w14:defaultImageDpi w14:val="300"/>
  <w15:docId w15:val="{C91CB766-28A2-46AF-8FE4-82A927EC0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olor w:val="6A6A6A"/>
      <w:sz w:val="15"/>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22214">
      <w:bodyDiv w:val="1"/>
      <w:marLeft w:val="0"/>
      <w:marRight w:val="0"/>
      <w:marTop w:val="0"/>
      <w:marBottom w:val="0"/>
      <w:divBdr>
        <w:top w:val="none" w:sz="0" w:space="0" w:color="auto"/>
        <w:left w:val="none" w:sz="0" w:space="0" w:color="auto"/>
        <w:bottom w:val="none" w:sz="0" w:space="0" w:color="auto"/>
        <w:right w:val="none" w:sz="0" w:space="0" w:color="auto"/>
      </w:divBdr>
      <w:divsChild>
        <w:div w:id="46154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5037496">
      <w:bodyDiv w:val="1"/>
      <w:marLeft w:val="0"/>
      <w:marRight w:val="0"/>
      <w:marTop w:val="0"/>
      <w:marBottom w:val="0"/>
      <w:divBdr>
        <w:top w:val="none" w:sz="0" w:space="0" w:color="auto"/>
        <w:left w:val="none" w:sz="0" w:space="0" w:color="auto"/>
        <w:bottom w:val="none" w:sz="0" w:space="0" w:color="auto"/>
        <w:right w:val="none" w:sz="0" w:space="0" w:color="auto"/>
      </w:divBdr>
      <w:divsChild>
        <w:div w:id="1781146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051890">
      <w:bodyDiv w:val="1"/>
      <w:marLeft w:val="0"/>
      <w:marRight w:val="0"/>
      <w:marTop w:val="0"/>
      <w:marBottom w:val="0"/>
      <w:divBdr>
        <w:top w:val="none" w:sz="0" w:space="0" w:color="auto"/>
        <w:left w:val="none" w:sz="0" w:space="0" w:color="auto"/>
        <w:bottom w:val="none" w:sz="0" w:space="0" w:color="auto"/>
        <w:right w:val="none" w:sz="0" w:space="0" w:color="auto"/>
      </w:divBdr>
      <w:divsChild>
        <w:div w:id="15086692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0202206">
          <w:blockQuote w:val="1"/>
          <w:marLeft w:val="720"/>
          <w:marRight w:val="720"/>
          <w:marTop w:val="100"/>
          <w:marBottom w:val="100"/>
          <w:divBdr>
            <w:top w:val="none" w:sz="0" w:space="0" w:color="auto"/>
            <w:left w:val="none" w:sz="0" w:space="0" w:color="auto"/>
            <w:bottom w:val="none" w:sz="0" w:space="0" w:color="auto"/>
            <w:right w:val="none" w:sz="0" w:space="0" w:color="auto"/>
          </w:divBdr>
        </w:div>
        <w:div w:id="242179232">
          <w:blockQuote w:val="1"/>
          <w:marLeft w:val="720"/>
          <w:marRight w:val="720"/>
          <w:marTop w:val="100"/>
          <w:marBottom w:val="100"/>
          <w:divBdr>
            <w:top w:val="none" w:sz="0" w:space="0" w:color="auto"/>
            <w:left w:val="none" w:sz="0" w:space="0" w:color="auto"/>
            <w:bottom w:val="none" w:sz="0" w:space="0" w:color="auto"/>
            <w:right w:val="none" w:sz="0" w:space="0" w:color="auto"/>
          </w:divBdr>
        </w:div>
        <w:div w:id="4796871">
          <w:blockQuote w:val="1"/>
          <w:marLeft w:val="720"/>
          <w:marRight w:val="720"/>
          <w:marTop w:val="100"/>
          <w:marBottom w:val="100"/>
          <w:divBdr>
            <w:top w:val="none" w:sz="0" w:space="0" w:color="auto"/>
            <w:left w:val="none" w:sz="0" w:space="0" w:color="auto"/>
            <w:bottom w:val="none" w:sz="0" w:space="0" w:color="auto"/>
            <w:right w:val="none" w:sz="0" w:space="0" w:color="auto"/>
          </w:divBdr>
        </w:div>
        <w:div w:id="686562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779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5651175">
      <w:bodyDiv w:val="1"/>
      <w:marLeft w:val="0"/>
      <w:marRight w:val="0"/>
      <w:marTop w:val="0"/>
      <w:marBottom w:val="0"/>
      <w:divBdr>
        <w:top w:val="none" w:sz="0" w:space="0" w:color="auto"/>
        <w:left w:val="none" w:sz="0" w:space="0" w:color="auto"/>
        <w:bottom w:val="none" w:sz="0" w:space="0" w:color="auto"/>
        <w:right w:val="none" w:sz="0" w:space="0" w:color="auto"/>
      </w:divBdr>
      <w:divsChild>
        <w:div w:id="213394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997741">
          <w:blockQuote w:val="1"/>
          <w:marLeft w:val="720"/>
          <w:marRight w:val="720"/>
          <w:marTop w:val="100"/>
          <w:marBottom w:val="100"/>
          <w:divBdr>
            <w:top w:val="none" w:sz="0" w:space="0" w:color="auto"/>
            <w:left w:val="none" w:sz="0" w:space="0" w:color="auto"/>
            <w:bottom w:val="none" w:sz="0" w:space="0" w:color="auto"/>
            <w:right w:val="none" w:sz="0" w:space="0" w:color="auto"/>
          </w:divBdr>
        </w:div>
        <w:div w:id="84675364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8776538">
          <w:blockQuote w:val="1"/>
          <w:marLeft w:val="720"/>
          <w:marRight w:val="720"/>
          <w:marTop w:val="100"/>
          <w:marBottom w:val="100"/>
          <w:divBdr>
            <w:top w:val="none" w:sz="0" w:space="0" w:color="auto"/>
            <w:left w:val="none" w:sz="0" w:space="0" w:color="auto"/>
            <w:bottom w:val="none" w:sz="0" w:space="0" w:color="auto"/>
            <w:right w:val="none" w:sz="0" w:space="0" w:color="auto"/>
          </w:divBdr>
        </w:div>
        <w:div w:id="1023825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763145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2054</Words>
  <Characters>11300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LFO - Directeur de programme IA &amp; Cybersécurité</dc:title>
  <dc:subject>Direction de programme, SOC, vulnérabilités, gestion de crise et IA Cyber</dc:subject>
  <dc:creator>David Vandenborght</dc:creator>
  <cp:keywords>IA, cybersécurité, SOC, SIEM, SOAR, XDR, vulnérabilités, patching, gestion de crise, DORA, LPM</cp:keywords>
  <dc:description/>
  <cp:lastModifiedBy>David Vandenborght</cp:lastModifiedBy>
  <cp:revision>2</cp:revision>
  <dcterms:created xsi:type="dcterms:W3CDTF">2026-08-06T08:34:00Z</dcterms:created>
  <dcterms:modified xsi:type="dcterms:W3CDTF">2026-08-06T08:34:00Z</dcterms:modified>
  <cp:category/>
</cp:coreProperties>
</file>