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4E79"/>
          <w:sz w:val="44"/>
        </w:rPr>
        <w:t>Analyse de consultation</w:t>
        <w:br/>
        <w:t>Expert fonctionnel CSM PRO ServiceNow</w:t>
      </w:r>
    </w:p>
    <w:p>
      <w:pPr>
        <w:jc w:val="left"/>
      </w:pPr>
      <w:r>
        <w:rPr>
          <w:rFonts w:ascii="Calibri" w:hAnsi="Calibri"/>
          <w:color w:val="595959"/>
          <w:sz w:val="22"/>
        </w:rPr>
        <w:t>Marché spécifique n°224 – Réf. 23915SA224MS C4 UO42 | Fédération Agirc-Arrco – DSI-RC</w:t>
      </w:r>
    </w:p>
    <w:tbl>
      <w:tblPr>
        <w:tblW w:type="auto" w:w="0"/>
        <w:jc w:val="left"/>
        <w:tblLayout w:type="fixed"/>
        <w:tblLook w:firstColumn="1" w:firstRow="1" w:lastColumn="0" w:lastRow="0" w:noHBand="0" w:noVBand="1" w:val="04A0"/>
      </w:tblPr>
      <w:tblGrid>
        <w:gridCol w:w="5100"/>
        <w:gridCol w:w="5100"/>
      </w:tblGrid>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Objet</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Prestation d’expert fonctionnel CSM PRO ServiceNow – catégorie 4, UO42</w:t>
            </w:r>
          </w:p>
        </w:tc>
      </w:tr>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Pouvoir adjudicateur</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Fédération Agirc-Arrco – Direction des Systèmes d’Information de la Retraite Complémentaire</w:t>
            </w:r>
          </w:p>
        </w:tc>
      </w:tr>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Lieu principal d’exécution</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Paris Central Seine, 42-50 Quai de la Rapée, 75012 Paris</w:t>
            </w:r>
          </w:p>
        </w:tc>
      </w:tr>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Profil recherché</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Sénior – plus de 7 ans d’expérience dans la même famille de prestations</w:t>
            </w:r>
          </w:p>
        </w:tc>
      </w:tr>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Périmètre contractuel</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Accord-cadre mono-attributaire à bons de commande, sans minimum, avec maximum de 800 000 € HT</w:t>
            </w:r>
          </w:p>
        </w:tc>
      </w:tr>
      <w:tr>
        <w:trPr>
          <w:trHeight w:hRule="atLeast" w:val="482"/>
        </w:trPr>
        <w:tc>
          <w:tcPr>
            <w:tcW w:type="dxa" w:w="2891"/>
            <w:vAlign w:val="center"/>
            <w:shd w:fill="EAF2F8"/>
            <w:tcBorders>
              <w:top w:val="single" w:sz="6" w:color="D9D9D9"/>
              <w:bottom w:val="single" w:sz="6" w:color="D9D9D9"/>
              <w:left w:val="single" w:sz="6" w:color="D9D9D9"/>
              <w:right w:val="single" w:sz="6" w:color="D9D9D9"/>
            </w:tcBorders>
          </w:tcPr>
          <w:p>
            <w:pPr>
              <w:spacing w:before="40" w:after="40"/>
            </w:pPr>
            <w:r>
              <w:rPr>
                <w:rFonts w:ascii="Calibri" w:hAnsi="Calibri"/>
                <w:b/>
                <w:color w:val="1F4E79"/>
                <w:sz w:val="20"/>
              </w:rPr>
              <w:t>Documents analysés</w:t>
            </w:r>
          </w:p>
        </w:tc>
        <w:tc>
          <w:tcPr>
            <w:tcW w:type="dxa" w:w="6123"/>
            <w:vAlign w:val="center"/>
            <w:shd w:fill="FFFFFF"/>
            <w:tcBorders>
              <w:top w:val="single" w:sz="6" w:color="D9D9D9"/>
              <w:bottom w:val="single" w:sz="6" w:color="D9D9D9"/>
              <w:left w:val="single" w:sz="6" w:color="D9D9D9"/>
              <w:right w:val="single" w:sz="6" w:color="D9D9D9"/>
            </w:tcBorders>
          </w:tcPr>
          <w:p>
            <w:pPr>
              <w:spacing w:before="40" w:after="40"/>
            </w:pPr>
            <w:r>
              <w:rPr>
                <w:rFonts w:ascii="Calibri" w:hAnsi="Calibri"/>
                <w:sz w:val="20"/>
              </w:rPr>
              <w:t>AE/RC/CCP PDF + classeur CCTP/CRT/AF</w:t>
            </w:r>
          </w:p>
        </w:tc>
      </w:tr>
    </w:tbl>
    <w:p/>
    <w:tbl>
      <w:tblPr>
        <w:tblW w:type="auto" w:w="0"/>
        <w:jc w:val="left"/>
        <w:tblLayout w:type="fixed"/>
        <w:tblLook w:firstColumn="1" w:firstRow="1" w:lastColumn="0" w:lastRow="0" w:noHBand="0" w:noVBand="1" w:val="04A0"/>
      </w:tblPr>
      <w:tblGrid>
        <w:gridCol w:w="10200"/>
      </w:tblGrid>
      <w:tr>
        <w:tc>
          <w:tcPr>
            <w:tcW w:type="dxa" w:w="9014"/>
            <w:shd w:fill="EAF7EA"/>
            <w:tcBorders>
              <w:top w:val="single" w:sz="10" w:color="D9B44A"/>
              <w:bottom w:val="single" w:sz="10" w:color="D9B44A"/>
              <w:left w:val="single" w:sz="10" w:color="D9B44A"/>
              <w:right w:val="single" w:sz="10" w:color="D9B44A"/>
            </w:tcBorders>
          </w:tcPr>
          <w:p>
            <w:pPr>
              <w:spacing w:before="80" w:after="80"/>
            </w:pPr>
            <w:r>
              <w:rPr>
                <w:rFonts w:ascii="Calibri" w:hAnsi="Calibri"/>
                <w:color w:val="006633"/>
                <w:sz w:val="20"/>
              </w:rPr>
              <w:t>Conclusion rapide : le besoin porte sur un consultant fonctionnel sénior très orienté ServiceNow CSM Pro, capable d’intégrer, paramétrer et structurer le passage de PEGA vers CSM Pro, avec une forte logique de standardisation, de backlog agile et de transfert de compétences. Le point décisif de la réponse sera la démonstration de références comparables en déploiement CSM Pro ServiceNow à grande échelle. Le TJM n’est pas renseigné dans les documents fournis ; il doit être saisi par le soumissionnaire dans l’annexe financière.</w:t>
            </w:r>
          </w:p>
        </w:tc>
      </w:tr>
    </w:tbl>
    <w:p/>
    <w:p>
      <w:pPr>
        <w:pStyle w:val="Heading1"/>
      </w:pPr>
      <w:r>
        <w:t>1. Synthèse exécutive</w:t>
      </w:r>
    </w:p>
    <w:p>
      <w:r>
        <w:rPr>
          <w:b w:val="0"/>
        </w:rPr>
        <w:t xml:space="preserve">Le marché vise à sécuriser </w:t>
      </w:r>
      <w:r>
        <w:rPr>
          <w:b/>
        </w:rPr>
        <w:t>1 profil sénior</w:t>
      </w:r>
      <w:r>
        <w:t xml:space="preserve"> d’expert fonctionnel CSM Pro ServiceNow pour accompagner la transformation du CRM de l’Agirc-Arrco. Le contexte est structurant : remplacement de PEGA par CSM Pro ServiceNow, intégration des briques CRM, FAQ, Chatbot et Marketing, recherche prioritaire d’un usage standard de la plateforme, et montée en autonomie d’un futur centre de compétences interne.</w:t>
      </w:r>
    </w:p>
    <w:p>
      <w:r>
        <w:rPr>
          <w:b w:val="0"/>
        </w:rPr>
        <w:t xml:space="preserve">Le besoin n’est pas celui d’un simple consultant AMOA. </w:t>
      </w:r>
      <w:r>
        <w:rPr>
          <w:b/>
        </w:rPr>
        <w:t>Le profil attendu doit combiner expertise fonctionnelle, capacité de paramétrage, compréhension d’architecture, maîtrise agile et accompagnement au transfert de compétences.</w:t>
      </w:r>
    </w:p>
    <w:p>
      <w:r>
        <w:rPr>
          <w:b w:val="0"/>
        </w:rPr>
        <w:t xml:space="preserve">Du point de vue de la réponse à l’appel d’offres, la clé sera de </w:t>
      </w:r>
      <w:r>
        <w:rPr>
          <w:b/>
        </w:rPr>
        <w:t>documenter des références concrètes et comparables</w:t>
      </w:r>
      <w:r>
        <w:t xml:space="preserve"> : déploiements CSM Pro/ServiceNow, environnements à fort volume d’utilisateurs, expérience de démarrage ou de pilotage de projet CRM, et adéquation fine avec la matrice de compétences.</w:t>
      </w:r>
    </w:p>
    <w:tbl>
      <w:tblPr>
        <w:tblStyle w:val="TableGrid"/>
        <w:tblW w:type="auto" w:w="0"/>
        <w:jc w:val="center"/>
        <w:tblLayout w:type="fixed"/>
        <w:tblLook w:firstColumn="1" w:firstRow="1" w:lastColumn="0" w:lastRow="0" w:noHBand="0" w:noVBand="1" w:val="04A0"/>
      </w:tblPr>
      <w:tblGrid>
        <w:gridCol w:w="5100"/>
        <w:gridCol w:w="5100"/>
      </w:tblGrid>
      <w:tr>
        <w:tc>
          <w:tcPr>
            <w:tcW w:type="dxa" w:w="2381"/>
            <w:vAlign w:val="center"/>
            <w:shd w:fill="D9EAF7"/>
          </w:tcPr>
          <w:p>
            <w:pPr>
              <w:jc w:val="center"/>
            </w:pPr>
            <w:r>
              <w:rPr>
                <w:b/>
                <w:color w:val="1F4E79"/>
                <w:sz w:val="19"/>
              </w:rPr>
              <w:t>Point</w:t>
            </w:r>
          </w:p>
        </w:tc>
        <w:tc>
          <w:tcPr>
            <w:tcW w:type="dxa" w:w="6633"/>
            <w:vAlign w:val="center"/>
            <w:shd w:fill="D9EAF7"/>
          </w:tcPr>
          <w:p>
            <w:pPr>
              <w:jc w:val="center"/>
            </w:pPr>
            <w:r>
              <w:rPr>
                <w:b/>
                <w:color w:val="1F4E79"/>
                <w:sz w:val="19"/>
              </w:rPr>
              <w:t>Lecture utile</w:t>
            </w:r>
          </w:p>
        </w:tc>
      </w:tr>
      <w:tr>
        <w:trPr>
          <w:trHeight w:hRule="atLeast" w:val="454"/>
        </w:trPr>
        <w:tc>
          <w:tcPr>
            <w:tcW w:type="dxa" w:w="2381"/>
            <w:vAlign w:val="center"/>
          </w:tcPr>
          <w:p>
            <w:pPr>
              <w:spacing w:after="20" w:before="20"/>
              <w:jc w:val="left"/>
            </w:pPr>
            <w:r>
              <w:rPr>
                <w:rFonts w:ascii="Calibri" w:hAnsi="Calibri"/>
                <w:sz w:val="19"/>
              </w:rPr>
              <w:t>Volume indicatif</w:t>
            </w:r>
          </w:p>
        </w:tc>
        <w:tc>
          <w:tcPr>
            <w:tcW w:type="dxa" w:w="6633"/>
            <w:vAlign w:val="center"/>
          </w:tcPr>
          <w:p>
            <w:pPr>
              <w:spacing w:after="20" w:before="20"/>
              <w:jc w:val="left"/>
            </w:pPr>
            <w:r>
              <w:rPr>
                <w:rFonts w:ascii="Calibri" w:hAnsi="Calibri"/>
                <w:sz w:val="19"/>
              </w:rPr>
              <w:t>800 jours environ sur la durée du marché ; charge non contractuelle.</w:t>
            </w:r>
          </w:p>
        </w:tc>
      </w:tr>
      <w:tr>
        <w:trPr>
          <w:trHeight w:hRule="atLeast" w:val="454"/>
        </w:trPr>
        <w:tc>
          <w:tcPr>
            <w:tcW w:type="dxa" w:w="2381"/>
            <w:vAlign w:val="center"/>
          </w:tcPr>
          <w:p>
            <w:pPr>
              <w:spacing w:after="20" w:before="20"/>
              <w:jc w:val="left"/>
            </w:pPr>
            <w:r>
              <w:rPr>
                <w:rFonts w:ascii="Calibri" w:hAnsi="Calibri"/>
                <w:sz w:val="19"/>
              </w:rPr>
              <w:t>Durée</w:t>
            </w:r>
          </w:p>
        </w:tc>
        <w:tc>
          <w:tcPr>
            <w:tcW w:type="dxa" w:w="6633"/>
            <w:vAlign w:val="center"/>
          </w:tcPr>
          <w:p>
            <w:pPr>
              <w:spacing w:after="20" w:before="20"/>
              <w:jc w:val="left"/>
            </w:pPr>
            <w:r>
              <w:rPr>
                <w:rFonts w:ascii="Calibri" w:hAnsi="Calibri"/>
                <w:sz w:val="19"/>
              </w:rPr>
              <w:t>1 an ferme, reconductible 3 fois 1 an ; durée maximale 4 ans.</w:t>
            </w:r>
          </w:p>
        </w:tc>
      </w:tr>
      <w:tr>
        <w:trPr>
          <w:trHeight w:hRule="atLeast" w:val="454"/>
        </w:trPr>
        <w:tc>
          <w:tcPr>
            <w:tcW w:type="dxa" w:w="2381"/>
            <w:vAlign w:val="center"/>
          </w:tcPr>
          <w:p>
            <w:pPr>
              <w:spacing w:after="20" w:before="20"/>
              <w:jc w:val="left"/>
            </w:pPr>
            <w:r>
              <w:rPr>
                <w:rFonts w:ascii="Calibri" w:hAnsi="Calibri"/>
                <w:sz w:val="19"/>
              </w:rPr>
              <w:t>Modalité de prix</w:t>
            </w:r>
          </w:p>
        </w:tc>
        <w:tc>
          <w:tcPr>
            <w:tcW w:type="dxa" w:w="6633"/>
            <w:vAlign w:val="center"/>
          </w:tcPr>
          <w:p>
            <w:pPr>
              <w:spacing w:after="20" w:before="20"/>
              <w:jc w:val="left"/>
            </w:pPr>
            <w:r>
              <w:rPr>
                <w:rFonts w:ascii="Calibri" w:hAnsi="Calibri"/>
                <w:sz w:val="19"/>
              </w:rPr>
              <w:t>Prix fermes sur toute la durée du marché, reconductions comprises.</w:t>
            </w:r>
          </w:p>
        </w:tc>
      </w:tr>
      <w:tr>
        <w:trPr>
          <w:trHeight w:hRule="atLeast" w:val="454"/>
        </w:trPr>
        <w:tc>
          <w:tcPr>
            <w:tcW w:type="dxa" w:w="2381"/>
            <w:vAlign w:val="center"/>
          </w:tcPr>
          <w:p>
            <w:pPr>
              <w:spacing w:after="20" w:before="20"/>
              <w:jc w:val="left"/>
            </w:pPr>
            <w:r>
              <w:rPr>
                <w:rFonts w:ascii="Calibri" w:hAnsi="Calibri"/>
                <w:sz w:val="19"/>
              </w:rPr>
              <w:t>Présence</w:t>
            </w:r>
          </w:p>
        </w:tc>
        <w:tc>
          <w:tcPr>
            <w:tcW w:type="dxa" w:w="6633"/>
            <w:vAlign w:val="center"/>
          </w:tcPr>
          <w:p>
            <w:pPr>
              <w:spacing w:after="20" w:before="20"/>
              <w:jc w:val="left"/>
            </w:pPr>
            <w:r>
              <w:rPr>
                <w:rFonts w:ascii="Calibri" w:hAnsi="Calibri"/>
                <w:sz w:val="19"/>
              </w:rPr>
              <w:t>3 jours de présence minimum par semaine sur site ; exécution à distance possible seulement avec accord exprès et depuis la France métropolitaine.</w:t>
            </w:r>
          </w:p>
        </w:tc>
      </w:tr>
      <w:tr>
        <w:trPr>
          <w:trHeight w:hRule="atLeast" w:val="454"/>
        </w:trPr>
        <w:tc>
          <w:tcPr>
            <w:tcW w:type="dxa" w:w="2381"/>
            <w:vAlign w:val="center"/>
          </w:tcPr>
          <w:p>
            <w:pPr>
              <w:spacing w:after="20" w:before="20"/>
              <w:jc w:val="left"/>
            </w:pPr>
            <w:r>
              <w:rPr>
                <w:rFonts w:ascii="Calibri" w:hAnsi="Calibri"/>
                <w:sz w:val="19"/>
              </w:rPr>
              <w:t>Livrables</w:t>
            </w:r>
          </w:p>
        </w:tc>
        <w:tc>
          <w:tcPr>
            <w:tcW w:type="dxa" w:w="6633"/>
            <w:vAlign w:val="center"/>
          </w:tcPr>
          <w:p>
            <w:pPr>
              <w:spacing w:after="20" w:before="20"/>
              <w:jc w:val="left"/>
            </w:pPr>
            <w:r>
              <w:rPr>
                <w:rFonts w:ascii="Calibri" w:hAnsi="Calibri"/>
                <w:sz w:val="19"/>
              </w:rPr>
              <w:t>EPICs, User Stories, cahier de tests, PV de VABF.</w:t>
            </w:r>
          </w:p>
        </w:tc>
      </w:tr>
      <w:tr>
        <w:trPr>
          <w:trHeight w:hRule="atLeast" w:val="454"/>
        </w:trPr>
        <w:tc>
          <w:tcPr>
            <w:tcW w:type="dxa" w:w="2381"/>
            <w:vAlign w:val="center"/>
          </w:tcPr>
          <w:p>
            <w:pPr>
              <w:spacing w:after="20" w:before="20"/>
              <w:jc w:val="left"/>
            </w:pPr>
            <w:r>
              <w:rPr>
                <w:rFonts w:ascii="Calibri" w:hAnsi="Calibri"/>
                <w:sz w:val="19"/>
              </w:rPr>
              <w:t>Mode de facturation</w:t>
            </w:r>
          </w:p>
        </w:tc>
        <w:tc>
          <w:tcPr>
            <w:tcW w:type="dxa" w:w="6633"/>
            <w:vAlign w:val="center"/>
          </w:tcPr>
          <w:p>
            <w:pPr>
              <w:spacing w:after="20" w:before="20"/>
              <w:jc w:val="left"/>
            </w:pPr>
            <w:r>
              <w:rPr>
                <w:rFonts w:ascii="Calibri" w:hAnsi="Calibri"/>
                <w:sz w:val="19"/>
              </w:rPr>
              <w:t>Au temps passé sur base du JH/TJM contractualisé ; validation préalable des livrables ou périodicité fixée par bon de commande.</w:t>
            </w:r>
          </w:p>
        </w:tc>
      </w:tr>
    </w:tbl>
    <w:p/>
    <w:p>
      <w:pPr>
        <w:pStyle w:val="Heading1"/>
      </w:pPr>
      <w:r>
        <w:t>2. Analyse du besoin</w:t>
      </w:r>
    </w:p>
    <w:p>
      <w:pPr>
        <w:pStyle w:val="Heading2"/>
      </w:pPr>
      <w:r>
        <w:t>2.1 Contexte métier et projet</w:t>
      </w:r>
    </w:p>
    <w:p>
      <w:r>
        <w:t>Le projet consiste à remplacer la solution CRM actuelle PEGA par la solution progicielle CSM Pro de ServiceNow, avec une priorité claire donnée à l’usage des fonctionnalités standard de la solution afin de garantir simplicité, maintenabilité et évolutivité.</w:t>
      </w:r>
    </w:p>
    <w:p>
      <w:r>
        <w:t>L’Agirc-Arrco agit comme maître d’œuvre intégrateur des solutions CRM, FAQ, Chatbot et Marketing dans leur écosystème.</w:t>
      </w:r>
    </w:p>
    <w:p>
      <w:r>
        <w:t>Le planning cible mentionne un pilote en T4 2026 pour les périmètres Entreprise et Individu, puis un déploiement généralisé jusqu’à fin juin 2027 pour CRM / FAQ / Chatbot ; la brique Marketing pourrait être cadrée au S2 2027 et déployée au plus tard fin 2028.</w:t>
      </w:r>
    </w:p>
    <w:p>
      <w:pPr>
        <w:pStyle w:val="Heading2"/>
      </w:pPr>
      <w:r>
        <w:t>2.2 Finalité opérationnelle du recours à un prestataire</w:t>
      </w:r>
    </w:p>
    <w:p>
      <w:pPr>
        <w:spacing w:after="40"/>
        <w:ind w:left="227"/>
        <w:numPr>
          <w:ilvl w:val="0"/>
          <w:numId w:val="1"/>
        </w:numPr>
      </w:pPr>
      <w:r>
        <w:t>Sécuriser l’atteinte des résultats dans les délais du programme de transformation CRM.</w:t>
      </w:r>
    </w:p>
    <w:p>
      <w:pPr>
        <w:spacing w:after="40"/>
        <w:ind w:left="227"/>
        <w:numPr>
          <w:ilvl w:val="0"/>
          <w:numId w:val="1"/>
        </w:numPr>
      </w:pPr>
      <w:r>
        <w:t>Aider l’Agirc-Arrco à intégrer correctement les solutions dans son écosystème SI.</w:t>
      </w:r>
    </w:p>
    <w:p>
      <w:pPr>
        <w:spacing w:after="40"/>
        <w:ind w:left="227"/>
        <w:numPr>
          <w:ilvl w:val="0"/>
          <w:numId w:val="1"/>
        </w:numPr>
      </w:pPr>
      <w:r>
        <w:t>Concevoir et paramétrer la solution en restant au plus près du standard ServiceNow.</w:t>
      </w:r>
    </w:p>
    <w:p>
      <w:pPr>
        <w:spacing w:after="40"/>
        <w:ind w:left="227"/>
        <w:numPr>
          <w:ilvl w:val="0"/>
          <w:numId w:val="1"/>
        </w:numPr>
      </w:pPr>
      <w:r>
        <w:t>Préparer l’autonomie future du centre de compétences interne Agirc-Arrco par transfert de savoir-faire.</w:t>
      </w:r>
    </w:p>
    <w:p>
      <w:pPr>
        <w:pStyle w:val="Heading2"/>
      </w:pPr>
      <w:r>
        <w:t>2.3 Missions attendues du consultant</w:t>
      </w:r>
    </w:p>
    <w:p>
      <w:pPr>
        <w:spacing w:after="40"/>
        <w:ind w:left="227"/>
        <w:numPr>
          <w:ilvl w:val="0"/>
          <w:numId w:val="1"/>
        </w:numPr>
      </w:pPr>
      <w:r>
        <w:t>Préparer, organiser et participer aux ateliers de conception sur les processus, les fondations de plateforme et les interfaces.</w:t>
      </w:r>
    </w:p>
    <w:p>
      <w:pPr>
        <w:spacing w:after="40"/>
        <w:ind w:left="227"/>
        <w:numPr>
          <w:ilvl w:val="0"/>
          <w:numId w:val="1"/>
        </w:numPr>
      </w:pPr>
      <w:r>
        <w:t>Co-rédiger et valider les User Stories issues des ateliers de conception.</w:t>
      </w:r>
    </w:p>
    <w:p>
      <w:pPr>
        <w:spacing w:after="40"/>
        <w:ind w:left="227"/>
        <w:numPr>
          <w:ilvl w:val="0"/>
          <w:numId w:val="1"/>
        </w:numPr>
      </w:pPr>
      <w:r>
        <w:t>Définir et prioriser le backlog produit.</w:t>
      </w:r>
    </w:p>
    <w:p>
      <w:pPr>
        <w:spacing w:after="40"/>
        <w:ind w:left="227"/>
        <w:numPr>
          <w:ilvl w:val="0"/>
          <w:numId w:val="1"/>
        </w:numPr>
      </w:pPr>
      <w:r>
        <w:t>Gérer les cycles agiles et participer aux cérémonies du projet.</w:t>
      </w:r>
    </w:p>
    <w:p>
      <w:pPr>
        <w:spacing w:after="40"/>
        <w:ind w:left="227"/>
        <w:numPr>
          <w:ilvl w:val="0"/>
          <w:numId w:val="1"/>
        </w:numPr>
      </w:pPr>
      <w:r>
        <w:t>Configurer les sollicitations clients et les processus métiers dans le CRM.</w:t>
      </w:r>
    </w:p>
    <w:p>
      <w:pPr>
        <w:spacing w:after="40"/>
        <w:ind w:left="227"/>
        <w:numPr>
          <w:ilvl w:val="0"/>
          <w:numId w:val="1"/>
        </w:numPr>
      </w:pPr>
      <w:r>
        <w:t>Paramétrer le CRM : parcours clients, fiches clients, distribution, routages, flux entrants et sortants.</w:t>
      </w:r>
    </w:p>
    <w:p>
      <w:pPr>
        <w:spacing w:after="40"/>
        <w:ind w:left="227"/>
        <w:numPr>
          <w:ilvl w:val="0"/>
          <w:numId w:val="1"/>
        </w:numPr>
      </w:pPr>
      <w:r>
        <w:t>Configurer FAQ / Chatbot à partir des référentiels de connaissance à construire.</w:t>
      </w:r>
    </w:p>
    <w:p>
      <w:pPr>
        <w:spacing w:after="40"/>
        <w:ind w:left="227"/>
        <w:numPr>
          <w:ilvl w:val="0"/>
          <w:numId w:val="1"/>
        </w:numPr>
      </w:pPr>
      <w:r>
        <w:t>Configurer la solution Marketing.</w:t>
      </w:r>
    </w:p>
    <w:p>
      <w:pPr>
        <w:spacing w:after="40"/>
        <w:ind w:left="227"/>
        <w:numPr>
          <w:ilvl w:val="0"/>
          <w:numId w:val="1"/>
        </w:numPr>
      </w:pPr>
      <w:r>
        <w:t>Former les équipes et transférer les compétences sur le paramétrage fonctionnel.</w:t>
      </w:r>
    </w:p>
    <w:p>
      <w:pPr>
        <w:pStyle w:val="Heading2"/>
      </w:pPr>
      <w:r>
        <w:t>2.4 Cadre d’exécution</w:t>
      </w:r>
    </w:p>
    <w:tbl>
      <w:tblPr>
        <w:tblStyle w:val="TableGrid"/>
        <w:tblW w:type="auto" w:w="0"/>
        <w:jc w:val="center"/>
        <w:tblLayout w:type="fixed"/>
        <w:tblLook w:firstColumn="1" w:firstRow="1" w:lastColumn="0" w:lastRow="0" w:noHBand="0" w:noVBand="1" w:val="04A0"/>
      </w:tblPr>
      <w:tblGrid>
        <w:gridCol w:w="5100"/>
        <w:gridCol w:w="5100"/>
      </w:tblGrid>
      <w:tr>
        <w:tc>
          <w:tcPr>
            <w:tcW w:type="dxa" w:w="2551"/>
            <w:vAlign w:val="center"/>
            <w:shd w:fill="D9EAF7"/>
          </w:tcPr>
          <w:p>
            <w:pPr>
              <w:jc w:val="center"/>
            </w:pPr>
            <w:r>
              <w:rPr>
                <w:b/>
                <w:color w:val="1F4E79"/>
                <w:sz w:val="19"/>
              </w:rPr>
              <w:t>Dimension</w:t>
            </w:r>
          </w:p>
        </w:tc>
        <w:tc>
          <w:tcPr>
            <w:tcW w:type="dxa" w:w="6463"/>
            <w:vAlign w:val="center"/>
            <w:shd w:fill="D9EAF7"/>
          </w:tcPr>
          <w:p>
            <w:pPr>
              <w:jc w:val="center"/>
            </w:pPr>
            <w:r>
              <w:rPr>
                <w:b/>
                <w:color w:val="1F4E79"/>
                <w:sz w:val="19"/>
              </w:rPr>
              <w:t>Exigence</w:t>
            </w:r>
          </w:p>
        </w:tc>
      </w:tr>
      <w:tr>
        <w:trPr>
          <w:trHeight w:hRule="atLeast" w:val="454"/>
        </w:trPr>
        <w:tc>
          <w:tcPr>
            <w:tcW w:type="dxa" w:w="2551"/>
            <w:vAlign w:val="center"/>
          </w:tcPr>
          <w:p>
            <w:pPr>
              <w:spacing w:after="20" w:before="20"/>
              <w:jc w:val="left"/>
            </w:pPr>
            <w:r>
              <w:rPr>
                <w:rFonts w:ascii="Calibri" w:hAnsi="Calibri"/>
                <w:sz w:val="19"/>
              </w:rPr>
              <w:t>Organisation</w:t>
            </w:r>
          </w:p>
        </w:tc>
        <w:tc>
          <w:tcPr>
            <w:tcW w:type="dxa" w:w="6463"/>
            <w:vAlign w:val="center"/>
          </w:tcPr>
          <w:p>
            <w:pPr>
              <w:spacing w:after="20" w:before="20"/>
              <w:jc w:val="left"/>
            </w:pPr>
            <w:r>
              <w:rPr>
                <w:rFonts w:ascii="Calibri" w:hAnsi="Calibri"/>
                <w:sz w:val="19"/>
              </w:rPr>
              <w:t>1 seul profil par offre ; société titulaire tenue de désigner en plus un référent de suivi qui ne peut pas être l’intervenant réalisant la mission.</w:t>
            </w:r>
          </w:p>
        </w:tc>
      </w:tr>
      <w:tr>
        <w:trPr>
          <w:trHeight w:hRule="atLeast" w:val="454"/>
        </w:trPr>
        <w:tc>
          <w:tcPr>
            <w:tcW w:type="dxa" w:w="2551"/>
            <w:vAlign w:val="center"/>
          </w:tcPr>
          <w:p>
            <w:pPr>
              <w:spacing w:after="20" w:before="20"/>
              <w:jc w:val="left"/>
            </w:pPr>
            <w:r>
              <w:rPr>
                <w:rFonts w:ascii="Calibri" w:hAnsi="Calibri"/>
                <w:sz w:val="19"/>
              </w:rPr>
              <w:t>Présentiel / distanciel</w:t>
            </w:r>
          </w:p>
        </w:tc>
        <w:tc>
          <w:tcPr>
            <w:tcW w:type="dxa" w:w="6463"/>
            <w:vAlign w:val="center"/>
          </w:tcPr>
          <w:p>
            <w:pPr>
              <w:spacing w:after="20" w:before="20"/>
              <w:jc w:val="left"/>
            </w:pPr>
            <w:r>
              <w:rPr>
                <w:rFonts w:ascii="Calibri" w:hAnsi="Calibri"/>
                <w:sz w:val="19"/>
              </w:rPr>
              <w:t>Minimum 3 jours sur site par semaine ; déport possible seulement après accord exprès ; le pouvoir adjudicateur peut y mettre fin à tout moment.</w:t>
            </w:r>
          </w:p>
        </w:tc>
      </w:tr>
      <w:tr>
        <w:trPr>
          <w:trHeight w:hRule="atLeast" w:val="454"/>
        </w:trPr>
        <w:tc>
          <w:tcPr>
            <w:tcW w:type="dxa" w:w="2551"/>
            <w:vAlign w:val="center"/>
          </w:tcPr>
          <w:p>
            <w:pPr>
              <w:spacing w:after="20" w:before="20"/>
              <w:jc w:val="left"/>
            </w:pPr>
            <w:r>
              <w:rPr>
                <w:rFonts w:ascii="Calibri" w:hAnsi="Calibri"/>
                <w:sz w:val="19"/>
              </w:rPr>
              <w:t>Télétravail</w:t>
            </w:r>
          </w:p>
        </w:tc>
        <w:tc>
          <w:tcPr>
            <w:tcW w:type="dxa" w:w="6463"/>
            <w:vAlign w:val="center"/>
          </w:tcPr>
          <w:p>
            <w:pPr>
              <w:spacing w:after="20" w:before="20"/>
              <w:jc w:val="left"/>
            </w:pPr>
            <w:r>
              <w:rPr>
                <w:rFonts w:ascii="Calibri" w:hAnsi="Calibri"/>
                <w:sz w:val="19"/>
              </w:rPr>
              <w:t>Uniquement en France métropolitaine et en horaires normaux de jour.</w:t>
            </w:r>
          </w:p>
        </w:tc>
      </w:tr>
      <w:tr>
        <w:trPr>
          <w:trHeight w:hRule="atLeast" w:val="454"/>
        </w:trPr>
        <w:tc>
          <w:tcPr>
            <w:tcW w:type="dxa" w:w="2551"/>
            <w:vAlign w:val="center"/>
          </w:tcPr>
          <w:p>
            <w:pPr>
              <w:spacing w:after="20" w:before="20"/>
              <w:jc w:val="left"/>
            </w:pPr>
            <w:r>
              <w:rPr>
                <w:rFonts w:ascii="Calibri" w:hAnsi="Calibri"/>
                <w:sz w:val="19"/>
              </w:rPr>
              <w:t>Matériel</w:t>
            </w:r>
          </w:p>
        </w:tc>
        <w:tc>
          <w:tcPr>
            <w:tcW w:type="dxa" w:w="6463"/>
            <w:vAlign w:val="center"/>
          </w:tcPr>
          <w:p>
            <w:pPr>
              <w:spacing w:after="20" w:before="20"/>
              <w:jc w:val="left"/>
            </w:pPr>
            <w:r>
              <w:rPr>
                <w:rFonts w:ascii="Calibri" w:hAnsi="Calibri"/>
                <w:sz w:val="19"/>
              </w:rPr>
              <w:t>Le titulaire fournit les moyens nécessaires, sauf mise à disposition spécifique par l’Agirc-Arrco.</w:t>
            </w:r>
          </w:p>
        </w:tc>
      </w:tr>
      <w:tr>
        <w:trPr>
          <w:trHeight w:hRule="atLeast" w:val="454"/>
        </w:trPr>
        <w:tc>
          <w:tcPr>
            <w:tcW w:type="dxa" w:w="2551"/>
            <w:vAlign w:val="center"/>
          </w:tcPr>
          <w:p>
            <w:pPr>
              <w:spacing w:after="20" w:before="20"/>
              <w:jc w:val="left"/>
            </w:pPr>
            <w:r>
              <w:rPr>
                <w:rFonts w:ascii="Calibri" w:hAnsi="Calibri"/>
                <w:sz w:val="19"/>
              </w:rPr>
              <w:t>Remplacement</w:t>
            </w:r>
          </w:p>
        </w:tc>
        <w:tc>
          <w:tcPr>
            <w:tcW w:type="dxa" w:w="6463"/>
            <w:vAlign w:val="center"/>
          </w:tcPr>
          <w:p>
            <w:pPr>
              <w:spacing w:after="20" w:before="20"/>
              <w:jc w:val="left"/>
            </w:pPr>
            <w:r>
              <w:rPr>
                <w:rFonts w:ascii="Calibri" w:hAnsi="Calibri"/>
                <w:sz w:val="19"/>
              </w:rPr>
              <w:t>Préavis minimal d’un mois en cas de départ prévisible ; transfert de connaissances obligatoire.</w:t>
            </w:r>
          </w:p>
        </w:tc>
      </w:tr>
      <w:tr>
        <w:trPr>
          <w:trHeight w:hRule="atLeast" w:val="454"/>
        </w:trPr>
        <w:tc>
          <w:tcPr>
            <w:tcW w:type="dxa" w:w="2551"/>
            <w:vAlign w:val="center"/>
          </w:tcPr>
          <w:p>
            <w:pPr>
              <w:spacing w:after="20" w:before="20"/>
              <w:jc w:val="left"/>
            </w:pPr>
            <w:r>
              <w:rPr>
                <w:rFonts w:ascii="Calibri" w:hAnsi="Calibri"/>
                <w:sz w:val="19"/>
              </w:rPr>
              <w:t>Durée max d’intervention</w:t>
            </w:r>
          </w:p>
        </w:tc>
        <w:tc>
          <w:tcPr>
            <w:tcW w:type="dxa" w:w="6463"/>
            <w:vAlign w:val="center"/>
          </w:tcPr>
          <w:p>
            <w:pPr>
              <w:spacing w:after="20" w:before="20"/>
              <w:jc w:val="left"/>
            </w:pPr>
            <w:r>
              <w:rPr>
                <w:rFonts w:ascii="Calibri" w:hAnsi="Calibri"/>
                <w:sz w:val="19"/>
              </w:rPr>
              <w:t>24 mois en continu pour un même intervenant, avec anticipation du remplacement si nécessaire.</w:t>
            </w:r>
          </w:p>
        </w:tc>
      </w:tr>
    </w:tbl>
    <w:p/>
    <w:p>
      <w:pPr>
        <w:pStyle w:val="Heading2"/>
      </w:pPr>
      <w:r>
        <w:t>2.5 Livrables et obligations de résultat</w:t>
      </w:r>
    </w:p>
    <w:p>
      <w:pPr>
        <w:spacing w:after="40"/>
        <w:ind w:left="227"/>
        <w:numPr>
          <w:ilvl w:val="0"/>
          <w:numId w:val="1"/>
        </w:numPr>
      </w:pPr>
      <w:r>
        <w:t>Livrables attendus : EPICs, User Stories, cahier de tests, PV de VABF.</w:t>
      </w:r>
    </w:p>
    <w:p>
      <w:pPr>
        <w:spacing w:after="40"/>
        <w:ind w:left="227"/>
        <w:numPr>
          <w:ilvl w:val="0"/>
          <w:numId w:val="1"/>
        </w:numPr>
      </w:pPr>
      <w:r>
        <w:t>Les délais détaillés seront contractualisés avec le chef de projet et/ou les référents fonctionnels et techniques.</w:t>
      </w:r>
    </w:p>
    <w:p>
      <w:pPr>
        <w:spacing w:after="40"/>
        <w:ind w:left="227"/>
        <w:numPr>
          <w:ilvl w:val="0"/>
          <w:numId w:val="1"/>
        </w:numPr>
      </w:pPr>
      <w:r>
        <w:t>Le titulaire est soumis à une obligation de moyens sur la prestation, mais également à une obligation de résultat sur les livrables et les indicateurs de performance définis au CCTP.</w:t>
      </w:r>
    </w:p>
    <w:p>
      <w:pPr>
        <w:spacing w:after="40"/>
        <w:ind w:left="227"/>
        <w:numPr>
          <w:ilvl w:val="0"/>
          <w:numId w:val="1"/>
        </w:numPr>
      </w:pPr>
      <w:r>
        <w:t>En cas de non-conformité, l’Agirc-Arrco peut émettre des réserves, refuser le paiement, rejeter la prestation ou résilier le marché.</w:t>
      </w:r>
    </w:p>
    <w:p>
      <w:pPr>
        <w:pStyle w:val="Heading1"/>
      </w:pPr>
      <w:r>
        <w:t>3. Profil recherché</w:t>
      </w:r>
    </w:p>
    <w:p>
      <w:pPr>
        <w:pStyle w:val="Heading2"/>
      </w:pPr>
      <w:r>
        <w:t>3.1 Niveau de séniorité</w:t>
      </w:r>
    </w:p>
    <w:p>
      <w:r>
        <w:t>Le document cadre exige un profil sénior, défini comme un intervenant disposant de plus de 7 ans d’expérience dans la même famille de prestations, avec justification par références clients. Le CCTP précise en parallèle une attente d’expertise de 5 à 7 ans minimum sur la solution, idéalement sur la version Zurich ou une version récente antérieure.</w:t>
      </w:r>
    </w:p>
    <w:p>
      <w:pPr>
        <w:pStyle w:val="Heading2"/>
      </w:pPr>
      <w:r>
        <w:t>3.2 Expériences attendues</w:t>
      </w:r>
    </w:p>
    <w:p>
      <w:pPr>
        <w:spacing w:after="40"/>
        <w:ind w:left="227"/>
        <w:numPr>
          <w:ilvl w:val="0"/>
          <w:numId w:val="1"/>
        </w:numPr>
      </w:pPr>
      <w:r>
        <w:t>Au moins une expérience d’intégration de CSM Pro ServiceNow dans une organisation similaire et à fort volume d’utilisateurs.</w:t>
      </w:r>
    </w:p>
    <w:p>
      <w:pPr>
        <w:spacing w:after="40"/>
        <w:ind w:left="227"/>
        <w:numPr>
          <w:ilvl w:val="0"/>
          <w:numId w:val="1"/>
        </w:numPr>
      </w:pPr>
      <w:r>
        <w:t>Référence particulièrement valorisante : environnement de type assurance / mutuelle complémentaire.</w:t>
      </w:r>
    </w:p>
    <w:p>
      <w:pPr>
        <w:spacing w:after="40"/>
        <w:ind w:left="227"/>
        <w:numPr>
          <w:ilvl w:val="0"/>
          <w:numId w:val="1"/>
        </w:numPr>
      </w:pPr>
      <w:r>
        <w:t>Expérience de déploiement CSM Pro ServiceNow sur les 3 dernières années.</w:t>
      </w:r>
    </w:p>
    <w:p>
      <w:pPr>
        <w:spacing w:after="40"/>
        <w:ind w:left="227"/>
        <w:numPr>
          <w:ilvl w:val="0"/>
          <w:numId w:val="1"/>
        </w:numPr>
      </w:pPr>
      <w:r>
        <w:t>Expérience sur d’autres solutions ServiceNow, notamment ITSM.</w:t>
      </w:r>
    </w:p>
    <w:p>
      <w:pPr>
        <w:spacing w:after="40"/>
        <w:ind w:left="227"/>
        <w:numPr>
          <w:ilvl w:val="0"/>
          <w:numId w:val="1"/>
        </w:numPr>
      </w:pPr>
      <w:r>
        <w:t>Expérience en pilotage / démarrage de projet CRM de taille similaire.</w:t>
      </w:r>
    </w:p>
    <w:p>
      <w:pPr>
        <w:spacing w:after="40"/>
        <w:ind w:left="227"/>
        <w:numPr>
          <w:ilvl w:val="0"/>
          <w:numId w:val="1"/>
        </w:numPr>
      </w:pPr>
      <w:r>
        <w:t>Expérience de recette métier sur des projets comparables.</w:t>
      </w:r>
    </w:p>
    <w:p>
      <w:pPr>
        <w:spacing w:after="40"/>
        <w:ind w:left="227"/>
        <w:numPr>
          <w:ilvl w:val="0"/>
          <w:numId w:val="1"/>
        </w:numPr>
      </w:pPr>
      <w:r>
        <w:t>Pratique éprouvée des méthodes agiles.</w:t>
      </w:r>
    </w:p>
    <w:p>
      <w:pPr>
        <w:pStyle w:val="Heading2"/>
      </w:pPr>
      <w:r>
        <w:t>3.3 Matrice de compétences à démontrer</w:t>
      </w:r>
    </w:p>
    <w:tbl>
      <w:tblPr>
        <w:tblStyle w:val="TableGrid"/>
        <w:tblW w:type="auto" w:w="0"/>
        <w:jc w:val="center"/>
        <w:tblLayout w:type="fixed"/>
        <w:tblLook w:firstColumn="1" w:firstRow="1" w:lastColumn="0" w:lastRow="0" w:noHBand="0" w:noVBand="1" w:val="04A0"/>
      </w:tblPr>
      <w:tblGrid>
        <w:gridCol w:w="5100"/>
        <w:gridCol w:w="5100"/>
      </w:tblGrid>
      <w:tr>
        <w:tc>
          <w:tcPr>
            <w:tcW w:type="dxa" w:w="6463"/>
            <w:vAlign w:val="center"/>
            <w:shd w:fill="D9EAF7"/>
          </w:tcPr>
          <w:p>
            <w:pPr>
              <w:jc w:val="center"/>
            </w:pPr>
            <w:r>
              <w:rPr>
                <w:b/>
                <w:color w:val="1F4E79"/>
                <w:sz w:val="18"/>
              </w:rPr>
              <w:t>Compétence attendue</w:t>
            </w:r>
          </w:p>
        </w:tc>
        <w:tc>
          <w:tcPr>
            <w:tcW w:type="dxa" w:w="2551"/>
            <w:vAlign w:val="center"/>
            <w:shd w:fill="D9EAF7"/>
          </w:tcPr>
          <w:p>
            <w:pPr>
              <w:jc w:val="center"/>
            </w:pPr>
            <w:r>
              <w:rPr>
                <w:b/>
                <w:color w:val="1F4E79"/>
                <w:sz w:val="18"/>
              </w:rPr>
              <w:t>Niveau attendu</w:t>
            </w:r>
          </w:p>
        </w:tc>
      </w:tr>
      <w:tr>
        <w:trPr>
          <w:trHeight w:hRule="atLeast" w:val="454"/>
        </w:trPr>
        <w:tc>
          <w:tcPr>
            <w:tcW w:type="dxa" w:w="6463"/>
            <w:vAlign w:val="center"/>
          </w:tcPr>
          <w:p>
            <w:pPr>
              <w:spacing w:after="20" w:before="20"/>
              <w:jc w:val="left"/>
            </w:pPr>
            <w:r>
              <w:rPr>
                <w:rFonts w:ascii="Calibri" w:hAnsi="Calibri"/>
                <w:sz w:val="18"/>
              </w:rPr>
              <w:t>Connaissances techniques CSM Pro Zurich + FAQ / Chatbot / Marketing</w:t>
            </w:r>
          </w:p>
        </w:tc>
        <w:tc>
          <w:tcPr>
            <w:tcW w:type="dxa" w:w="2551"/>
            <w:vAlign w:val="center"/>
          </w:tcPr>
          <w:p>
            <w:pPr>
              <w:spacing w:after="20" w:before="20"/>
              <w:jc w:val="left"/>
            </w:pPr>
            <w:r>
              <w:rPr>
                <w:rFonts w:ascii="Calibri" w:hAnsi="Calibri"/>
                <w:sz w:val="18"/>
              </w:rPr>
              <w:t>Maîtrise (niveau 3)</w:t>
            </w:r>
          </w:p>
        </w:tc>
      </w:tr>
      <w:tr>
        <w:trPr>
          <w:trHeight w:hRule="atLeast" w:val="454"/>
        </w:trPr>
        <w:tc>
          <w:tcPr>
            <w:tcW w:type="dxa" w:w="6463"/>
            <w:vAlign w:val="center"/>
          </w:tcPr>
          <w:p>
            <w:pPr>
              <w:spacing w:after="20" w:before="20"/>
              <w:jc w:val="left"/>
            </w:pPr>
            <w:r>
              <w:rPr>
                <w:rFonts w:ascii="Calibri" w:hAnsi="Calibri"/>
                <w:sz w:val="18"/>
              </w:rPr>
              <w:t>Architecture de la solution et choix standards de plateforme</w:t>
            </w:r>
          </w:p>
        </w:tc>
        <w:tc>
          <w:tcPr>
            <w:tcW w:type="dxa" w:w="2551"/>
            <w:vAlign w:val="center"/>
          </w:tcPr>
          <w:p>
            <w:pPr>
              <w:spacing w:after="20" w:before="20"/>
              <w:jc w:val="left"/>
            </w:pPr>
            <w:r>
              <w:rPr>
                <w:rFonts w:ascii="Calibri" w:hAnsi="Calibri"/>
                <w:sz w:val="18"/>
              </w:rPr>
              <w:t>Maîtrise (niveau 3)</w:t>
            </w:r>
          </w:p>
        </w:tc>
      </w:tr>
      <w:tr>
        <w:trPr>
          <w:trHeight w:hRule="atLeast" w:val="454"/>
        </w:trPr>
        <w:tc>
          <w:tcPr>
            <w:tcW w:type="dxa" w:w="6463"/>
            <w:vAlign w:val="center"/>
          </w:tcPr>
          <w:p>
            <w:pPr>
              <w:spacing w:after="20" w:before="20"/>
              <w:jc w:val="left"/>
            </w:pPr>
            <w:r>
              <w:rPr>
                <w:rFonts w:ascii="Calibri" w:hAnsi="Calibri"/>
                <w:sz w:val="18"/>
              </w:rPr>
              <w:t>Bonnes pratiques de la plateforme CSM Pro</w:t>
            </w:r>
          </w:p>
        </w:tc>
        <w:tc>
          <w:tcPr>
            <w:tcW w:type="dxa" w:w="2551"/>
            <w:vAlign w:val="center"/>
          </w:tcPr>
          <w:p>
            <w:pPr>
              <w:spacing w:after="20" w:before="20"/>
              <w:jc w:val="left"/>
            </w:pPr>
            <w:r>
              <w:rPr>
                <w:rFonts w:ascii="Calibri" w:hAnsi="Calibri"/>
                <w:sz w:val="18"/>
              </w:rPr>
              <w:t>Expert (niveau 4)</w:t>
            </w:r>
          </w:p>
        </w:tc>
      </w:tr>
      <w:tr>
        <w:trPr>
          <w:trHeight w:hRule="atLeast" w:val="454"/>
        </w:trPr>
        <w:tc>
          <w:tcPr>
            <w:tcW w:type="dxa" w:w="6463"/>
            <w:vAlign w:val="center"/>
          </w:tcPr>
          <w:p>
            <w:pPr>
              <w:spacing w:after="20" w:before="20"/>
              <w:jc w:val="left"/>
            </w:pPr>
            <w:r>
              <w:rPr>
                <w:rFonts w:ascii="Calibri" w:hAnsi="Calibri"/>
                <w:sz w:val="18"/>
              </w:rPr>
              <w:t>Intégration de la plateforme à un écosystème SI externe</w:t>
            </w:r>
          </w:p>
        </w:tc>
        <w:tc>
          <w:tcPr>
            <w:tcW w:type="dxa" w:w="2551"/>
            <w:vAlign w:val="center"/>
          </w:tcPr>
          <w:p>
            <w:pPr>
              <w:spacing w:after="20" w:before="20"/>
              <w:jc w:val="left"/>
            </w:pPr>
            <w:r>
              <w:rPr>
                <w:rFonts w:ascii="Calibri" w:hAnsi="Calibri"/>
                <w:sz w:val="18"/>
              </w:rPr>
              <w:t>Maîtrise (niveau 3)</w:t>
            </w:r>
          </w:p>
        </w:tc>
      </w:tr>
      <w:tr>
        <w:trPr>
          <w:trHeight w:hRule="atLeast" w:val="454"/>
        </w:trPr>
        <w:tc>
          <w:tcPr>
            <w:tcW w:type="dxa" w:w="6463"/>
            <w:vAlign w:val="center"/>
          </w:tcPr>
          <w:p>
            <w:pPr>
              <w:spacing w:after="20" w:before="20"/>
              <w:jc w:val="left"/>
            </w:pPr>
            <w:r>
              <w:rPr>
                <w:rFonts w:ascii="Calibri" w:hAnsi="Calibri"/>
                <w:sz w:val="18"/>
              </w:rPr>
              <w:t>Connaissances techniques complémentaires (JavaScript…)</w:t>
            </w:r>
          </w:p>
        </w:tc>
        <w:tc>
          <w:tcPr>
            <w:tcW w:type="dxa" w:w="2551"/>
            <w:vAlign w:val="center"/>
          </w:tcPr>
          <w:p>
            <w:pPr>
              <w:spacing w:after="20" w:before="20"/>
              <w:jc w:val="left"/>
            </w:pPr>
            <w:r>
              <w:rPr>
                <w:rFonts w:ascii="Calibri" w:hAnsi="Calibri"/>
                <w:sz w:val="18"/>
              </w:rPr>
              <w:t>Connaissance (niveau 1)</w:t>
            </w:r>
          </w:p>
        </w:tc>
      </w:tr>
      <w:tr>
        <w:trPr>
          <w:trHeight w:hRule="atLeast" w:val="454"/>
        </w:trPr>
        <w:tc>
          <w:tcPr>
            <w:tcW w:type="dxa" w:w="6463"/>
            <w:vAlign w:val="center"/>
          </w:tcPr>
          <w:p>
            <w:pPr>
              <w:spacing w:after="20" w:before="20"/>
              <w:jc w:val="left"/>
            </w:pPr>
            <w:r>
              <w:rPr>
                <w:rFonts w:ascii="Calibri" w:hAnsi="Calibri"/>
                <w:sz w:val="18"/>
              </w:rPr>
              <w:t>Design de solution CRM / FAQ / Chatbot / Marketing</w:t>
            </w:r>
          </w:p>
        </w:tc>
        <w:tc>
          <w:tcPr>
            <w:tcW w:type="dxa" w:w="2551"/>
            <w:vAlign w:val="center"/>
          </w:tcPr>
          <w:p>
            <w:pPr>
              <w:spacing w:after="20" w:before="20"/>
              <w:jc w:val="left"/>
            </w:pPr>
            <w:r>
              <w:rPr>
                <w:rFonts w:ascii="Calibri" w:hAnsi="Calibri"/>
                <w:sz w:val="18"/>
              </w:rPr>
              <w:t>Expert (niveau 4)</w:t>
            </w:r>
          </w:p>
        </w:tc>
      </w:tr>
      <w:tr>
        <w:trPr>
          <w:trHeight w:hRule="atLeast" w:val="454"/>
        </w:trPr>
        <w:tc>
          <w:tcPr>
            <w:tcW w:type="dxa" w:w="6463"/>
            <w:vAlign w:val="center"/>
          </w:tcPr>
          <w:p>
            <w:pPr>
              <w:spacing w:after="20" w:before="20"/>
              <w:jc w:val="left"/>
            </w:pPr>
            <w:r>
              <w:rPr>
                <w:rFonts w:ascii="Calibri" w:hAnsi="Calibri"/>
                <w:sz w:val="18"/>
              </w:rPr>
              <w:t>Connaissances fonctionnelles de la solution</w:t>
            </w:r>
          </w:p>
        </w:tc>
        <w:tc>
          <w:tcPr>
            <w:tcW w:type="dxa" w:w="2551"/>
            <w:vAlign w:val="center"/>
          </w:tcPr>
          <w:p>
            <w:pPr>
              <w:spacing w:after="20" w:before="20"/>
              <w:jc w:val="left"/>
            </w:pPr>
            <w:r>
              <w:rPr>
                <w:rFonts w:ascii="Calibri" w:hAnsi="Calibri"/>
                <w:sz w:val="18"/>
              </w:rPr>
              <w:t>Expert (niveau 4)</w:t>
            </w:r>
          </w:p>
        </w:tc>
      </w:tr>
      <w:tr>
        <w:trPr>
          <w:trHeight w:hRule="atLeast" w:val="454"/>
        </w:trPr>
        <w:tc>
          <w:tcPr>
            <w:tcW w:type="dxa" w:w="6463"/>
            <w:vAlign w:val="center"/>
          </w:tcPr>
          <w:p>
            <w:pPr>
              <w:spacing w:after="20" w:before="20"/>
              <w:jc w:val="left"/>
            </w:pPr>
            <w:r>
              <w:rPr>
                <w:rFonts w:ascii="Calibri" w:hAnsi="Calibri"/>
                <w:sz w:val="18"/>
              </w:rPr>
              <w:t>Conception et mise en œuvre des processus métiers</w:t>
            </w:r>
          </w:p>
        </w:tc>
        <w:tc>
          <w:tcPr>
            <w:tcW w:type="dxa" w:w="2551"/>
            <w:vAlign w:val="center"/>
          </w:tcPr>
          <w:p>
            <w:pPr>
              <w:spacing w:after="20" w:before="20"/>
              <w:jc w:val="left"/>
            </w:pPr>
            <w:r>
              <w:rPr>
                <w:rFonts w:ascii="Calibri" w:hAnsi="Calibri"/>
                <w:sz w:val="18"/>
              </w:rPr>
              <w:t>Expert (niveau 4)</w:t>
            </w:r>
          </w:p>
        </w:tc>
      </w:tr>
      <w:tr>
        <w:trPr>
          <w:trHeight w:hRule="atLeast" w:val="454"/>
        </w:trPr>
        <w:tc>
          <w:tcPr>
            <w:tcW w:type="dxa" w:w="6463"/>
            <w:vAlign w:val="center"/>
          </w:tcPr>
          <w:p>
            <w:pPr>
              <w:spacing w:after="20" w:before="20"/>
              <w:jc w:val="left"/>
            </w:pPr>
            <w:r>
              <w:rPr>
                <w:rFonts w:ascii="Calibri" w:hAnsi="Calibri"/>
                <w:sz w:val="18"/>
              </w:rPr>
              <w:t>Connaissance des processus métiers relation client</w:t>
            </w:r>
          </w:p>
        </w:tc>
        <w:tc>
          <w:tcPr>
            <w:tcW w:type="dxa" w:w="2551"/>
            <w:vAlign w:val="center"/>
          </w:tcPr>
          <w:p>
            <w:pPr>
              <w:spacing w:after="20" w:before="20"/>
              <w:jc w:val="left"/>
            </w:pPr>
            <w:r>
              <w:rPr>
                <w:rFonts w:ascii="Calibri" w:hAnsi="Calibri"/>
                <w:sz w:val="18"/>
              </w:rPr>
              <w:t>Expert (niveau 4)</w:t>
            </w:r>
          </w:p>
        </w:tc>
      </w:tr>
      <w:tr>
        <w:trPr>
          <w:trHeight w:hRule="atLeast" w:val="454"/>
        </w:trPr>
        <w:tc>
          <w:tcPr>
            <w:tcW w:type="dxa" w:w="6463"/>
            <w:vAlign w:val="center"/>
          </w:tcPr>
          <w:p>
            <w:pPr>
              <w:spacing w:after="20" w:before="20"/>
              <w:jc w:val="left"/>
            </w:pPr>
            <w:r>
              <w:rPr>
                <w:rFonts w:ascii="Calibri" w:hAnsi="Calibri"/>
                <w:sz w:val="18"/>
              </w:rPr>
              <w:t>Capacités rédactionnelles en français</w:t>
            </w:r>
          </w:p>
        </w:tc>
        <w:tc>
          <w:tcPr>
            <w:tcW w:type="dxa" w:w="2551"/>
            <w:vAlign w:val="center"/>
          </w:tcPr>
          <w:p>
            <w:pPr>
              <w:spacing w:after="20" w:before="20"/>
              <w:jc w:val="left"/>
            </w:pPr>
            <w:r>
              <w:rPr>
                <w:rFonts w:ascii="Calibri" w:hAnsi="Calibri"/>
                <w:sz w:val="18"/>
              </w:rPr>
              <w:t>Maîtrise (niveau 3)</w:t>
            </w:r>
          </w:p>
        </w:tc>
      </w:tr>
      <w:tr>
        <w:trPr>
          <w:trHeight w:hRule="atLeast" w:val="454"/>
        </w:trPr>
        <w:tc>
          <w:tcPr>
            <w:tcW w:type="dxa" w:w="6463"/>
            <w:vAlign w:val="center"/>
          </w:tcPr>
          <w:p>
            <w:pPr>
              <w:spacing w:after="20" w:before="20"/>
              <w:jc w:val="left"/>
            </w:pPr>
            <w:r>
              <w:rPr>
                <w:rFonts w:ascii="Calibri" w:hAnsi="Calibri"/>
                <w:sz w:val="18"/>
              </w:rPr>
              <w:t>Capacités relationnelles / conduite de réunion / négociation</w:t>
            </w:r>
          </w:p>
        </w:tc>
        <w:tc>
          <w:tcPr>
            <w:tcW w:type="dxa" w:w="2551"/>
            <w:vAlign w:val="center"/>
          </w:tcPr>
          <w:p>
            <w:pPr>
              <w:spacing w:after="20" w:before="20"/>
              <w:jc w:val="left"/>
            </w:pPr>
            <w:r>
              <w:rPr>
                <w:rFonts w:ascii="Calibri" w:hAnsi="Calibri"/>
                <w:sz w:val="18"/>
              </w:rPr>
              <w:t>Maîtrise (niveau 3)</w:t>
            </w:r>
          </w:p>
        </w:tc>
      </w:tr>
      <w:tr>
        <w:trPr>
          <w:trHeight w:hRule="atLeast" w:val="454"/>
        </w:trPr>
        <w:tc>
          <w:tcPr>
            <w:tcW w:type="dxa" w:w="6463"/>
            <w:vAlign w:val="center"/>
          </w:tcPr>
          <w:p>
            <w:pPr>
              <w:spacing w:after="20" w:before="20"/>
              <w:jc w:val="left"/>
            </w:pPr>
            <w:r>
              <w:rPr>
                <w:rFonts w:ascii="Calibri" w:hAnsi="Calibri"/>
                <w:sz w:val="18"/>
              </w:rPr>
              <w:t>Sens du service / du client et force de persuasion</w:t>
            </w:r>
          </w:p>
        </w:tc>
        <w:tc>
          <w:tcPr>
            <w:tcW w:type="dxa" w:w="2551"/>
            <w:vAlign w:val="center"/>
          </w:tcPr>
          <w:p>
            <w:pPr>
              <w:spacing w:after="20" w:before="20"/>
              <w:jc w:val="left"/>
            </w:pPr>
            <w:r>
              <w:rPr>
                <w:rFonts w:ascii="Calibri" w:hAnsi="Calibri"/>
                <w:sz w:val="18"/>
              </w:rPr>
              <w:t>Maîtrise (niveau 3)</w:t>
            </w:r>
          </w:p>
        </w:tc>
      </w:tr>
    </w:tbl>
    <w:p/>
    <w:p>
      <w:pPr>
        <w:pStyle w:val="Heading2"/>
      </w:pPr>
      <w:r>
        <w:t>3.4 Profil idéal à présenter</w:t>
      </w:r>
    </w:p>
    <w:p>
      <w:r>
        <w:t>Le meilleur candidat pour cette consultation n’est pas seulement un expert produit. C’est un consultant capable de tenir une posture de référent fonctionnel, d’embarquer les métiers, d’arbitrer entre besoin et standard éditeur, de produire les artefacts agiles, et de transmettre durablement les compétences à l’équipe interne.</w:t>
      </w:r>
    </w:p>
    <w:p>
      <w:pPr>
        <w:pStyle w:val="Heading1"/>
      </w:pPr>
      <w:r>
        <w:t>4. Synthèse des éléments de réponse à fournir</w:t>
      </w:r>
    </w:p>
    <w:p>
      <w:pPr>
        <w:pStyle w:val="Heading2"/>
      </w:pPr>
      <w:r>
        <w:t>4.1 Pièces obligatoires du dossier d’offre</w:t>
      </w:r>
    </w:p>
    <w:tbl>
      <w:tblPr>
        <w:tblStyle w:val="TableGrid"/>
        <w:tblW w:type="auto" w:w="0"/>
        <w:jc w:val="center"/>
        <w:tblLayout w:type="fixed"/>
        <w:tblLook w:firstColumn="1" w:firstRow="1" w:lastColumn="0" w:lastRow="0" w:noHBand="0" w:noVBand="1" w:val="04A0"/>
      </w:tblPr>
      <w:tblGrid>
        <w:gridCol w:w="5100"/>
        <w:gridCol w:w="5100"/>
      </w:tblGrid>
      <w:tr>
        <w:tc>
          <w:tcPr>
            <w:tcW w:type="dxa" w:w="2891"/>
            <w:vAlign w:val="center"/>
            <w:shd w:fill="D9EAF7"/>
          </w:tcPr>
          <w:p>
            <w:pPr>
              <w:jc w:val="center"/>
            </w:pPr>
            <w:r>
              <w:rPr>
                <w:b/>
                <w:color w:val="1F4E79"/>
                <w:sz w:val="19"/>
              </w:rPr>
              <w:t>Pièce</w:t>
            </w:r>
          </w:p>
        </w:tc>
        <w:tc>
          <w:tcPr>
            <w:tcW w:type="dxa" w:w="6123"/>
            <w:vAlign w:val="center"/>
            <w:shd w:fill="D9EAF7"/>
          </w:tcPr>
          <w:p>
            <w:pPr>
              <w:jc w:val="center"/>
            </w:pPr>
            <w:r>
              <w:rPr>
                <w:b/>
                <w:color w:val="1F4E79"/>
                <w:sz w:val="19"/>
              </w:rPr>
              <w:t>Statut / contenu attendu</w:t>
            </w:r>
          </w:p>
        </w:tc>
      </w:tr>
      <w:tr>
        <w:trPr>
          <w:trHeight w:hRule="atLeast" w:val="454"/>
        </w:trPr>
        <w:tc>
          <w:tcPr>
            <w:tcW w:type="dxa" w:w="2891"/>
            <w:vAlign w:val="center"/>
          </w:tcPr>
          <w:p>
            <w:pPr>
              <w:spacing w:after="20" w:before="20"/>
              <w:jc w:val="left"/>
            </w:pPr>
            <w:r>
              <w:rPr>
                <w:rFonts w:ascii="Calibri" w:hAnsi="Calibri"/>
                <w:sz w:val="19"/>
              </w:rPr>
              <w:t>Présent document AE/RC/CCP</w:t>
            </w:r>
          </w:p>
        </w:tc>
        <w:tc>
          <w:tcPr>
            <w:tcW w:type="dxa" w:w="6123"/>
            <w:vAlign w:val="center"/>
          </w:tcPr>
          <w:p>
            <w:pPr>
              <w:spacing w:after="20" w:before="20"/>
              <w:jc w:val="left"/>
            </w:pPr>
            <w:r>
              <w:rPr>
                <w:rFonts w:ascii="Calibri" w:hAnsi="Calibri"/>
                <w:sz w:val="19"/>
              </w:rPr>
              <w:t>À compléter et dater.</w:t>
            </w:r>
          </w:p>
        </w:tc>
      </w:tr>
      <w:tr>
        <w:trPr>
          <w:trHeight w:hRule="atLeast" w:val="454"/>
        </w:trPr>
        <w:tc>
          <w:tcPr>
            <w:tcW w:type="dxa" w:w="2891"/>
            <w:vAlign w:val="center"/>
          </w:tcPr>
          <w:p>
            <w:pPr>
              <w:spacing w:after="20" w:before="20"/>
              <w:jc w:val="left"/>
            </w:pPr>
            <w:r>
              <w:rPr>
                <w:rFonts w:ascii="Calibri" w:hAnsi="Calibri"/>
                <w:sz w:val="19"/>
              </w:rPr>
              <w:t>Cadre de réponse technique (onglet CRT du fichier Excel)</w:t>
            </w:r>
          </w:p>
        </w:tc>
        <w:tc>
          <w:tcPr>
            <w:tcW w:type="dxa" w:w="6123"/>
            <w:vAlign w:val="center"/>
          </w:tcPr>
          <w:p>
            <w:pPr>
              <w:spacing w:after="20" w:before="20"/>
              <w:jc w:val="left"/>
            </w:pPr>
            <w:r>
              <w:rPr>
                <w:rFonts w:ascii="Calibri" w:hAnsi="Calibri"/>
                <w:sz w:val="19"/>
              </w:rPr>
              <w:t>Obligatoire ; tient lieu de mémoire technique.</w:t>
            </w:r>
          </w:p>
        </w:tc>
      </w:tr>
      <w:tr>
        <w:trPr>
          <w:trHeight w:hRule="atLeast" w:val="454"/>
        </w:trPr>
        <w:tc>
          <w:tcPr>
            <w:tcW w:type="dxa" w:w="2891"/>
            <w:vAlign w:val="center"/>
          </w:tcPr>
          <w:p>
            <w:pPr>
              <w:spacing w:after="20" w:before="20"/>
              <w:jc w:val="left"/>
            </w:pPr>
            <w:r>
              <w:rPr>
                <w:rFonts w:ascii="Calibri" w:hAnsi="Calibri"/>
                <w:sz w:val="19"/>
              </w:rPr>
              <w:t>Annexe financière (onglet AF)</w:t>
            </w:r>
          </w:p>
        </w:tc>
        <w:tc>
          <w:tcPr>
            <w:tcW w:type="dxa" w:w="6123"/>
            <w:vAlign w:val="center"/>
          </w:tcPr>
          <w:p>
            <w:pPr>
              <w:spacing w:after="20" w:before="20"/>
              <w:jc w:val="left"/>
            </w:pPr>
            <w:r>
              <w:rPr>
                <w:rFonts w:ascii="Calibri" w:hAnsi="Calibri"/>
                <w:sz w:val="19"/>
              </w:rPr>
              <w:t>Obligatoire ; doit contenir le tarif de l’UO pour le profil proposé.</w:t>
            </w:r>
          </w:p>
        </w:tc>
      </w:tr>
      <w:tr>
        <w:trPr>
          <w:trHeight w:hRule="atLeast" w:val="454"/>
        </w:trPr>
        <w:tc>
          <w:tcPr>
            <w:tcW w:type="dxa" w:w="2891"/>
            <w:vAlign w:val="center"/>
          </w:tcPr>
          <w:p>
            <w:pPr>
              <w:spacing w:after="20" w:before="20"/>
              <w:jc w:val="left"/>
            </w:pPr>
            <w:r>
              <w:rPr>
                <w:rFonts w:ascii="Calibri" w:hAnsi="Calibri"/>
                <w:sz w:val="19"/>
              </w:rPr>
              <w:t>DC4 si sous-traitance</w:t>
            </w:r>
          </w:p>
        </w:tc>
        <w:tc>
          <w:tcPr>
            <w:tcW w:type="dxa" w:w="6123"/>
            <w:vAlign w:val="center"/>
          </w:tcPr>
          <w:p>
            <w:pPr>
              <w:spacing w:after="20" w:before="20"/>
              <w:jc w:val="left"/>
            </w:pPr>
            <w:r>
              <w:rPr>
                <w:rFonts w:ascii="Calibri" w:hAnsi="Calibri"/>
                <w:sz w:val="19"/>
              </w:rPr>
              <w:t>À fournir le cas échéant uniquement.</w:t>
            </w:r>
          </w:p>
        </w:tc>
      </w:tr>
      <w:tr>
        <w:trPr>
          <w:trHeight w:hRule="atLeast" w:val="454"/>
        </w:trPr>
        <w:tc>
          <w:tcPr>
            <w:tcW w:type="dxa" w:w="2891"/>
            <w:vAlign w:val="center"/>
          </w:tcPr>
          <w:p>
            <w:pPr>
              <w:spacing w:after="20" w:before="20"/>
              <w:jc w:val="left"/>
            </w:pPr>
            <w:r>
              <w:rPr>
                <w:rFonts w:ascii="Calibri" w:hAnsi="Calibri"/>
                <w:sz w:val="19"/>
              </w:rPr>
              <w:t>Pièces complémentaires</w:t>
            </w:r>
          </w:p>
        </w:tc>
        <w:tc>
          <w:tcPr>
            <w:tcW w:type="dxa" w:w="6123"/>
            <w:vAlign w:val="center"/>
          </w:tcPr>
          <w:p>
            <w:pPr>
              <w:spacing w:after="20" w:before="20"/>
              <w:jc w:val="left"/>
            </w:pPr>
            <w:r>
              <w:rPr>
                <w:rFonts w:ascii="Calibri" w:hAnsi="Calibri"/>
                <w:sz w:val="19"/>
              </w:rPr>
              <w:t>Possibles pour appuyer l’offre, sans éléments financiers.</w:t>
            </w:r>
          </w:p>
        </w:tc>
      </w:tr>
    </w:tbl>
    <w:p/>
    <w:p>
      <w:pPr>
        <w:pStyle w:val="Heading2"/>
      </w:pPr>
      <w:r>
        <w:t>4.2 Ce que le mémoire technique doit absolument démontrer</w:t>
      </w:r>
    </w:p>
    <w:p>
      <w:pPr>
        <w:spacing w:after="40"/>
        <w:ind w:left="227"/>
        <w:numPr>
          <w:ilvl w:val="0"/>
          <w:numId w:val="1"/>
        </w:numPr>
      </w:pPr>
      <w:r>
        <w:t>Présentation claire du profil proposé : années d’expérience, certifications, formation, compétences principales.</w:t>
      </w:r>
    </w:p>
    <w:p>
      <w:pPr>
        <w:spacing w:after="40"/>
        <w:ind w:left="227"/>
        <w:numPr>
          <w:ilvl w:val="0"/>
          <w:numId w:val="1"/>
        </w:numPr>
      </w:pPr>
      <w:r>
        <w:t>Complétude de la matrice de compétences, sans sur-promesse ni incohérence avec le CV et les références.</w:t>
      </w:r>
    </w:p>
    <w:p>
      <w:pPr>
        <w:spacing w:after="40"/>
        <w:ind w:left="227"/>
        <w:numPr>
          <w:ilvl w:val="0"/>
          <w:numId w:val="1"/>
        </w:numPr>
      </w:pPr>
      <w:r>
        <w:t>Description de missions significatives en lien direct avec : (i) CSM Pro ServiceNow, (ii) autres solutions ServiceNow, (iii) pilotage / démarrage de projet CRM comparable.</w:t>
      </w:r>
    </w:p>
    <w:p>
      <w:pPr>
        <w:spacing w:after="40"/>
        <w:ind w:left="227"/>
        <w:numPr>
          <w:ilvl w:val="0"/>
          <w:numId w:val="1"/>
        </w:numPr>
      </w:pPr>
      <w:r>
        <w:t>Capacité à travailler dans des environnements complexes, à fort volume d’utilisateurs, avec logique de standardisation éditeur.</w:t>
      </w:r>
    </w:p>
    <w:p>
      <w:pPr>
        <w:spacing w:after="40"/>
        <w:ind w:left="227"/>
        <w:numPr>
          <w:ilvl w:val="0"/>
          <w:numId w:val="1"/>
        </w:numPr>
      </w:pPr>
      <w:r>
        <w:t>Capacité à produire les livrables attendus et à travailler dans un cadre agile.</w:t>
      </w:r>
    </w:p>
    <w:p>
      <w:pPr>
        <w:spacing w:after="40"/>
        <w:ind w:left="227"/>
        <w:numPr>
          <w:ilvl w:val="0"/>
          <w:numId w:val="1"/>
        </w:numPr>
      </w:pPr>
      <w:r>
        <w:t>Capacité à assurer transfert de compétences, documentation et autonomie progressive du centre de compétences.</w:t>
      </w:r>
    </w:p>
    <w:p>
      <w:pPr>
        <w:pStyle w:val="Heading2"/>
      </w:pPr>
      <w:r>
        <w:t>4.3 Axes de réponse recommandés pour maximiser la note</w:t>
      </w:r>
    </w:p>
    <w:tbl>
      <w:tblPr>
        <w:tblStyle w:val="TableGrid"/>
        <w:tblW w:type="auto" w:w="0"/>
        <w:jc w:val="center"/>
        <w:tblLayout w:type="fixed"/>
        <w:tblLook w:firstColumn="1" w:firstRow="1" w:lastColumn="0" w:lastRow="0" w:noHBand="0" w:noVBand="1" w:val="04A0"/>
      </w:tblPr>
      <w:tblGrid>
        <w:gridCol w:w="5100"/>
        <w:gridCol w:w="5100"/>
      </w:tblGrid>
      <w:tr>
        <w:tc>
          <w:tcPr>
            <w:tcW w:type="dxa" w:w="2098"/>
            <w:vAlign w:val="center"/>
            <w:shd w:fill="D9EAF7"/>
          </w:tcPr>
          <w:p>
            <w:pPr>
              <w:jc w:val="center"/>
            </w:pPr>
            <w:r>
              <w:rPr>
                <w:b/>
                <w:color w:val="1F4E79"/>
                <w:sz w:val="18"/>
              </w:rPr>
              <w:t>Axe</w:t>
            </w:r>
          </w:p>
        </w:tc>
        <w:tc>
          <w:tcPr>
            <w:tcW w:type="dxa" w:w="6917"/>
            <w:vAlign w:val="center"/>
            <w:shd w:fill="D9EAF7"/>
          </w:tcPr>
          <w:p>
            <w:pPr>
              <w:jc w:val="center"/>
            </w:pPr>
            <w:r>
              <w:rPr>
                <w:b/>
                <w:color w:val="1F4E79"/>
                <w:sz w:val="18"/>
              </w:rPr>
              <w:t>Conseil de réponse</w:t>
            </w:r>
          </w:p>
        </w:tc>
      </w:tr>
      <w:tr>
        <w:trPr>
          <w:trHeight w:hRule="atLeast" w:val="454"/>
        </w:trPr>
        <w:tc>
          <w:tcPr>
            <w:tcW w:type="dxa" w:w="2098"/>
            <w:vAlign w:val="center"/>
          </w:tcPr>
          <w:p>
            <w:pPr>
              <w:spacing w:after="20" w:before="20"/>
              <w:jc w:val="left"/>
            </w:pPr>
            <w:r>
              <w:rPr>
                <w:rFonts w:ascii="Calibri" w:hAnsi="Calibri"/>
                <w:sz w:val="18"/>
              </w:rPr>
              <w:t>Références</w:t>
            </w:r>
          </w:p>
        </w:tc>
        <w:tc>
          <w:tcPr>
            <w:tcW w:type="dxa" w:w="6917"/>
            <w:vAlign w:val="center"/>
          </w:tcPr>
          <w:p>
            <w:pPr>
              <w:spacing w:after="20" w:before="20"/>
              <w:jc w:val="left"/>
            </w:pPr>
            <w:r>
              <w:rPr>
                <w:rFonts w:ascii="Calibri" w:hAnsi="Calibri"/>
                <w:sz w:val="18"/>
              </w:rPr>
              <w:t>Mettre en avant en priorité un ou deux projets CSM Pro ServiceNow comparables en taille, complexité et volumétrie d’utilisateurs.</w:t>
            </w:r>
          </w:p>
        </w:tc>
      </w:tr>
      <w:tr>
        <w:trPr>
          <w:trHeight w:hRule="atLeast" w:val="454"/>
        </w:trPr>
        <w:tc>
          <w:tcPr>
            <w:tcW w:type="dxa" w:w="2098"/>
            <w:vAlign w:val="center"/>
          </w:tcPr>
          <w:p>
            <w:pPr>
              <w:spacing w:after="20" w:before="20"/>
              <w:jc w:val="left"/>
            </w:pPr>
            <w:r>
              <w:rPr>
                <w:rFonts w:ascii="Calibri" w:hAnsi="Calibri"/>
                <w:sz w:val="18"/>
              </w:rPr>
              <w:t>Standard vs spécifique</w:t>
            </w:r>
          </w:p>
        </w:tc>
        <w:tc>
          <w:tcPr>
            <w:tcW w:type="dxa" w:w="6917"/>
            <w:vAlign w:val="center"/>
          </w:tcPr>
          <w:p>
            <w:pPr>
              <w:spacing w:after="20" w:before="20"/>
              <w:jc w:val="left"/>
            </w:pPr>
            <w:r>
              <w:rPr>
                <w:rFonts w:ascii="Calibri" w:hAnsi="Calibri"/>
                <w:sz w:val="18"/>
              </w:rPr>
              <w:t>Insister sur la capacité à privilégier le standard de la plateforme et à limiter les développements spécifiques.</w:t>
            </w:r>
          </w:p>
        </w:tc>
      </w:tr>
      <w:tr>
        <w:trPr>
          <w:trHeight w:hRule="atLeast" w:val="454"/>
        </w:trPr>
        <w:tc>
          <w:tcPr>
            <w:tcW w:type="dxa" w:w="2098"/>
            <w:vAlign w:val="center"/>
          </w:tcPr>
          <w:p>
            <w:pPr>
              <w:spacing w:after="20" w:before="20"/>
              <w:jc w:val="left"/>
            </w:pPr>
            <w:r>
              <w:rPr>
                <w:rFonts w:ascii="Calibri" w:hAnsi="Calibri"/>
                <w:sz w:val="18"/>
              </w:rPr>
              <w:t>Contexte sectoriel</w:t>
            </w:r>
          </w:p>
        </w:tc>
        <w:tc>
          <w:tcPr>
            <w:tcW w:type="dxa" w:w="6917"/>
            <w:vAlign w:val="center"/>
          </w:tcPr>
          <w:p>
            <w:pPr>
              <w:spacing w:after="20" w:before="20"/>
              <w:jc w:val="left"/>
            </w:pPr>
            <w:r>
              <w:rPr>
                <w:rFonts w:ascii="Calibri" w:hAnsi="Calibri"/>
                <w:sz w:val="18"/>
              </w:rPr>
              <w:t>Valoriser toute expérience assurance, protection sociale, mutuelle, relation client complexe ou service public élargi.</w:t>
            </w:r>
          </w:p>
        </w:tc>
      </w:tr>
      <w:tr>
        <w:trPr>
          <w:trHeight w:hRule="atLeast" w:val="454"/>
        </w:trPr>
        <w:tc>
          <w:tcPr>
            <w:tcW w:type="dxa" w:w="2098"/>
            <w:vAlign w:val="center"/>
          </w:tcPr>
          <w:p>
            <w:pPr>
              <w:spacing w:after="20" w:before="20"/>
              <w:jc w:val="left"/>
            </w:pPr>
            <w:r>
              <w:rPr>
                <w:rFonts w:ascii="Calibri" w:hAnsi="Calibri"/>
                <w:sz w:val="18"/>
              </w:rPr>
              <w:t>Méthode</w:t>
            </w:r>
          </w:p>
        </w:tc>
        <w:tc>
          <w:tcPr>
            <w:tcW w:type="dxa" w:w="6917"/>
            <w:vAlign w:val="center"/>
          </w:tcPr>
          <w:p>
            <w:pPr>
              <w:spacing w:after="20" w:before="20"/>
              <w:jc w:val="left"/>
            </w:pPr>
            <w:r>
              <w:rPr>
                <w:rFonts w:ascii="Calibri" w:hAnsi="Calibri"/>
                <w:sz w:val="18"/>
              </w:rPr>
              <w:t>Présenter un mode de travail agile concret : backlog, ateliers, user stories, recette, conduite des cérémonies.</w:t>
            </w:r>
          </w:p>
        </w:tc>
      </w:tr>
      <w:tr>
        <w:trPr>
          <w:trHeight w:hRule="atLeast" w:val="454"/>
        </w:trPr>
        <w:tc>
          <w:tcPr>
            <w:tcW w:type="dxa" w:w="2098"/>
            <w:vAlign w:val="center"/>
          </w:tcPr>
          <w:p>
            <w:pPr>
              <w:spacing w:after="20" w:before="20"/>
              <w:jc w:val="left"/>
            </w:pPr>
            <w:r>
              <w:rPr>
                <w:rFonts w:ascii="Calibri" w:hAnsi="Calibri"/>
                <w:sz w:val="18"/>
              </w:rPr>
              <w:t>Transmission</w:t>
            </w:r>
          </w:p>
        </w:tc>
        <w:tc>
          <w:tcPr>
            <w:tcW w:type="dxa" w:w="6917"/>
            <w:vAlign w:val="center"/>
          </w:tcPr>
          <w:p>
            <w:pPr>
              <w:spacing w:after="20" w:before="20"/>
              <w:jc w:val="left"/>
            </w:pPr>
            <w:r>
              <w:rPr>
                <w:rFonts w:ascii="Calibri" w:hAnsi="Calibri"/>
                <w:sz w:val="18"/>
              </w:rPr>
              <w:t>Montrer explicitement le savoir-faire en formation, coaching, shadowing et documentation de transfert.</w:t>
            </w:r>
          </w:p>
        </w:tc>
      </w:tr>
      <w:tr>
        <w:trPr>
          <w:trHeight w:hRule="atLeast" w:val="454"/>
        </w:trPr>
        <w:tc>
          <w:tcPr>
            <w:tcW w:type="dxa" w:w="2098"/>
            <w:vAlign w:val="center"/>
          </w:tcPr>
          <w:p>
            <w:pPr>
              <w:spacing w:after="20" w:before="20"/>
              <w:jc w:val="left"/>
            </w:pPr>
            <w:r>
              <w:rPr>
                <w:rFonts w:ascii="Calibri" w:hAnsi="Calibri"/>
                <w:sz w:val="18"/>
              </w:rPr>
              <w:t>Disponibilité</w:t>
            </w:r>
          </w:p>
        </w:tc>
        <w:tc>
          <w:tcPr>
            <w:tcW w:type="dxa" w:w="6917"/>
            <w:vAlign w:val="center"/>
          </w:tcPr>
          <w:p>
            <w:pPr>
              <w:spacing w:after="20" w:before="20"/>
              <w:jc w:val="left"/>
            </w:pPr>
            <w:r>
              <w:rPr>
                <w:rFonts w:ascii="Calibri" w:hAnsi="Calibri"/>
                <w:sz w:val="18"/>
              </w:rPr>
              <w:t>Rassurer sur la capacité à tenir le présentiel attendu et la stabilité du consultant présenté.</w:t>
            </w:r>
          </w:p>
        </w:tc>
      </w:tr>
    </w:tbl>
    <w:p/>
    <w:p>
      <w:pPr>
        <w:pStyle w:val="Heading2"/>
      </w:pPr>
      <w:r>
        <w:t>4.4 Critères d’attribution à piloter</w:t>
      </w:r>
    </w:p>
    <w:tbl>
      <w:tblPr>
        <w:tblStyle w:val="TableGrid"/>
        <w:tblW w:type="auto" w:w="0"/>
        <w:jc w:val="center"/>
        <w:tblLayout w:type="fixed"/>
        <w:tblLook w:firstColumn="1" w:firstRow="1" w:lastColumn="0" w:lastRow="0" w:noHBand="0" w:noVBand="1" w:val="04A0"/>
      </w:tblPr>
      <w:tblGrid>
        <w:gridCol w:w="3400"/>
        <w:gridCol w:w="3400"/>
        <w:gridCol w:w="3400"/>
      </w:tblGrid>
      <w:tr>
        <w:tc>
          <w:tcPr>
            <w:tcW w:type="dxa" w:w="3005"/>
            <w:vAlign w:val="center"/>
            <w:shd w:fill="D9EAF7"/>
          </w:tcPr>
          <w:p>
            <w:pPr>
              <w:jc w:val="center"/>
            </w:pPr>
            <w:r>
              <w:rPr>
                <w:b/>
                <w:color w:val="1F4E79"/>
                <w:sz w:val="18"/>
              </w:rPr>
              <w:t>Critère</w:t>
            </w:r>
          </w:p>
        </w:tc>
        <w:tc>
          <w:tcPr>
            <w:tcW w:type="dxa" w:w="1871"/>
            <w:vAlign w:val="center"/>
            <w:shd w:fill="D9EAF7"/>
          </w:tcPr>
          <w:p>
            <w:pPr>
              <w:jc w:val="center"/>
            </w:pPr>
            <w:r>
              <w:rPr>
                <w:b/>
                <w:color w:val="1F4E79"/>
                <w:sz w:val="18"/>
              </w:rPr>
              <w:t>Pondération</w:t>
            </w:r>
          </w:p>
        </w:tc>
        <w:tc>
          <w:tcPr>
            <w:tcW w:type="dxa" w:w="4139"/>
            <w:vAlign w:val="center"/>
            <w:shd w:fill="D9EAF7"/>
          </w:tcPr>
          <w:p>
            <w:pPr>
              <w:jc w:val="center"/>
            </w:pPr>
            <w:r>
              <w:rPr>
                <w:b/>
                <w:color w:val="1F4E79"/>
                <w:sz w:val="18"/>
              </w:rPr>
              <w:t>Lecture pratique</w:t>
            </w:r>
          </w:p>
        </w:tc>
      </w:tr>
      <w:tr>
        <w:trPr>
          <w:trHeight w:hRule="atLeast" w:val="454"/>
        </w:trPr>
        <w:tc>
          <w:tcPr>
            <w:tcW w:type="dxa" w:w="3005"/>
            <w:vAlign w:val="center"/>
          </w:tcPr>
          <w:p>
            <w:pPr>
              <w:spacing w:after="20" w:before="20"/>
              <w:jc w:val="left"/>
            </w:pPr>
            <w:r>
              <w:rPr>
                <w:rFonts w:ascii="Calibri" w:hAnsi="Calibri"/>
                <w:sz w:val="18"/>
              </w:rPr>
              <w:t>Valeur technique</w:t>
            </w:r>
          </w:p>
        </w:tc>
        <w:tc>
          <w:tcPr>
            <w:tcW w:type="dxa" w:w="1871"/>
            <w:vAlign w:val="center"/>
          </w:tcPr>
          <w:p>
            <w:pPr>
              <w:spacing w:after="20" w:before="20"/>
              <w:jc w:val="left"/>
            </w:pPr>
            <w:r>
              <w:rPr>
                <w:rFonts w:ascii="Calibri" w:hAnsi="Calibri"/>
                <w:sz w:val="18"/>
              </w:rPr>
              <w:t>75 %</w:t>
            </w:r>
          </w:p>
        </w:tc>
        <w:tc>
          <w:tcPr>
            <w:tcW w:type="dxa" w:w="4139"/>
            <w:vAlign w:val="center"/>
          </w:tcPr>
          <w:p>
            <w:pPr>
              <w:spacing w:after="20" w:before="20"/>
              <w:jc w:val="left"/>
            </w:pPr>
            <w:r>
              <w:rPr>
                <w:rFonts w:ascii="Calibri" w:hAnsi="Calibri"/>
                <w:sz w:val="18"/>
              </w:rPr>
              <w:t>Le cœur du classement. Les références CSM Pro comparables et l’adéquation à la matrice de compétences seront déterminantes.</w:t>
            </w:r>
          </w:p>
        </w:tc>
      </w:tr>
      <w:tr>
        <w:trPr>
          <w:trHeight w:hRule="atLeast" w:val="454"/>
        </w:trPr>
        <w:tc>
          <w:tcPr>
            <w:tcW w:type="dxa" w:w="3005"/>
            <w:vAlign w:val="center"/>
          </w:tcPr>
          <w:p>
            <w:pPr>
              <w:spacing w:after="20" w:before="20"/>
              <w:jc w:val="left"/>
            </w:pPr>
            <w:r>
              <w:rPr>
                <w:rFonts w:ascii="Calibri" w:hAnsi="Calibri"/>
                <w:sz w:val="18"/>
              </w:rPr>
              <w:t>– Déploiement CSM Pro ServiceNow</w:t>
            </w:r>
          </w:p>
        </w:tc>
        <w:tc>
          <w:tcPr>
            <w:tcW w:type="dxa" w:w="1871"/>
            <w:vAlign w:val="center"/>
          </w:tcPr>
          <w:p>
            <w:pPr>
              <w:spacing w:after="20" w:before="20"/>
              <w:jc w:val="left"/>
            </w:pPr>
            <w:r>
              <w:rPr>
                <w:rFonts w:ascii="Calibri" w:hAnsi="Calibri"/>
                <w:sz w:val="18"/>
              </w:rPr>
              <w:t>50 % du critère technique</w:t>
            </w:r>
          </w:p>
        </w:tc>
        <w:tc>
          <w:tcPr>
            <w:tcW w:type="dxa" w:w="4139"/>
            <w:vAlign w:val="center"/>
          </w:tcPr>
          <w:p>
            <w:pPr>
              <w:spacing w:after="20" w:before="20"/>
              <w:jc w:val="left"/>
            </w:pPr>
            <w:r>
              <w:rPr>
                <w:rFonts w:ascii="Calibri" w:hAnsi="Calibri"/>
                <w:sz w:val="18"/>
              </w:rPr>
              <w:t>Sous-critère le plus lourd.</w:t>
            </w:r>
          </w:p>
        </w:tc>
      </w:tr>
      <w:tr>
        <w:trPr>
          <w:trHeight w:hRule="atLeast" w:val="454"/>
        </w:trPr>
        <w:tc>
          <w:tcPr>
            <w:tcW w:type="dxa" w:w="3005"/>
            <w:vAlign w:val="center"/>
          </w:tcPr>
          <w:p>
            <w:pPr>
              <w:spacing w:after="20" w:before="20"/>
              <w:jc w:val="left"/>
            </w:pPr>
            <w:r>
              <w:rPr>
                <w:rFonts w:ascii="Calibri" w:hAnsi="Calibri"/>
                <w:sz w:val="18"/>
              </w:rPr>
              <w:t>– Autres solutions ServiceNow</w:t>
            </w:r>
          </w:p>
        </w:tc>
        <w:tc>
          <w:tcPr>
            <w:tcW w:type="dxa" w:w="1871"/>
            <w:vAlign w:val="center"/>
          </w:tcPr>
          <w:p>
            <w:pPr>
              <w:spacing w:after="20" w:before="20"/>
              <w:jc w:val="left"/>
            </w:pPr>
            <w:r>
              <w:rPr>
                <w:rFonts w:ascii="Calibri" w:hAnsi="Calibri"/>
                <w:sz w:val="18"/>
              </w:rPr>
              <w:t>20 % du critère technique</w:t>
            </w:r>
          </w:p>
        </w:tc>
        <w:tc>
          <w:tcPr>
            <w:tcW w:type="dxa" w:w="4139"/>
            <w:vAlign w:val="center"/>
          </w:tcPr>
          <w:p>
            <w:pPr>
              <w:spacing w:after="20" w:before="20"/>
              <w:jc w:val="left"/>
            </w:pPr>
            <w:r>
              <w:rPr>
                <w:rFonts w:ascii="Calibri" w:hAnsi="Calibri"/>
                <w:sz w:val="18"/>
              </w:rPr>
              <w:t>Valoriser ITSM et autres briques pertinentes.</w:t>
            </w:r>
          </w:p>
        </w:tc>
      </w:tr>
      <w:tr>
        <w:trPr>
          <w:trHeight w:hRule="atLeast" w:val="454"/>
        </w:trPr>
        <w:tc>
          <w:tcPr>
            <w:tcW w:type="dxa" w:w="3005"/>
            <w:vAlign w:val="center"/>
          </w:tcPr>
          <w:p>
            <w:pPr>
              <w:spacing w:after="20" w:before="20"/>
              <w:jc w:val="left"/>
            </w:pPr>
            <w:r>
              <w:rPr>
                <w:rFonts w:ascii="Calibri" w:hAnsi="Calibri"/>
                <w:sz w:val="18"/>
              </w:rPr>
              <w:t>– Adéquation à la matrice</w:t>
            </w:r>
          </w:p>
        </w:tc>
        <w:tc>
          <w:tcPr>
            <w:tcW w:type="dxa" w:w="1871"/>
            <w:vAlign w:val="center"/>
          </w:tcPr>
          <w:p>
            <w:pPr>
              <w:spacing w:after="20" w:before="20"/>
              <w:jc w:val="left"/>
            </w:pPr>
            <w:r>
              <w:rPr>
                <w:rFonts w:ascii="Calibri" w:hAnsi="Calibri"/>
                <w:sz w:val="18"/>
              </w:rPr>
              <w:t>15 % du critère technique</w:t>
            </w:r>
          </w:p>
        </w:tc>
        <w:tc>
          <w:tcPr>
            <w:tcW w:type="dxa" w:w="4139"/>
            <w:vAlign w:val="center"/>
          </w:tcPr>
          <w:p>
            <w:pPr>
              <w:spacing w:after="20" w:before="20"/>
              <w:jc w:val="left"/>
            </w:pPr>
            <w:r>
              <w:rPr>
                <w:rFonts w:ascii="Calibri" w:hAnsi="Calibri"/>
                <w:sz w:val="18"/>
              </w:rPr>
              <w:t>La cohérence de la grille doit être irréprochable.</w:t>
            </w:r>
          </w:p>
        </w:tc>
      </w:tr>
      <w:tr>
        <w:trPr>
          <w:trHeight w:hRule="atLeast" w:val="454"/>
        </w:trPr>
        <w:tc>
          <w:tcPr>
            <w:tcW w:type="dxa" w:w="3005"/>
            <w:vAlign w:val="center"/>
          </w:tcPr>
          <w:p>
            <w:pPr>
              <w:spacing w:after="20" w:before="20"/>
              <w:jc w:val="left"/>
            </w:pPr>
            <w:r>
              <w:rPr>
                <w:rFonts w:ascii="Calibri" w:hAnsi="Calibri"/>
                <w:sz w:val="18"/>
              </w:rPr>
              <w:t>– Pilotage / démarrage CRM comparable</w:t>
            </w:r>
          </w:p>
        </w:tc>
        <w:tc>
          <w:tcPr>
            <w:tcW w:type="dxa" w:w="1871"/>
            <w:vAlign w:val="center"/>
          </w:tcPr>
          <w:p>
            <w:pPr>
              <w:spacing w:after="20" w:before="20"/>
              <w:jc w:val="left"/>
            </w:pPr>
            <w:r>
              <w:rPr>
                <w:rFonts w:ascii="Calibri" w:hAnsi="Calibri"/>
                <w:sz w:val="18"/>
              </w:rPr>
              <w:t>15 % du critère technique</w:t>
            </w:r>
          </w:p>
        </w:tc>
        <w:tc>
          <w:tcPr>
            <w:tcW w:type="dxa" w:w="4139"/>
            <w:vAlign w:val="center"/>
          </w:tcPr>
          <w:p>
            <w:pPr>
              <w:spacing w:after="20" w:before="20"/>
              <w:jc w:val="left"/>
            </w:pPr>
            <w:r>
              <w:rPr>
                <w:rFonts w:ascii="Calibri" w:hAnsi="Calibri"/>
                <w:sz w:val="18"/>
              </w:rPr>
              <w:t>Décrire des contextes de lancement et de cadrage projet.</w:t>
            </w:r>
          </w:p>
        </w:tc>
      </w:tr>
      <w:tr>
        <w:trPr>
          <w:trHeight w:hRule="atLeast" w:val="454"/>
        </w:trPr>
        <w:tc>
          <w:tcPr>
            <w:tcW w:type="dxa" w:w="3005"/>
            <w:vAlign w:val="center"/>
          </w:tcPr>
          <w:p>
            <w:pPr>
              <w:spacing w:after="20" w:before="20"/>
              <w:jc w:val="left"/>
            </w:pPr>
            <w:r>
              <w:rPr>
                <w:rFonts w:ascii="Calibri" w:hAnsi="Calibri"/>
                <w:sz w:val="18"/>
              </w:rPr>
              <w:t>Valeur financière</w:t>
            </w:r>
          </w:p>
        </w:tc>
        <w:tc>
          <w:tcPr>
            <w:tcW w:type="dxa" w:w="1871"/>
            <w:vAlign w:val="center"/>
          </w:tcPr>
          <w:p>
            <w:pPr>
              <w:spacing w:after="20" w:before="20"/>
              <w:jc w:val="left"/>
            </w:pPr>
            <w:r>
              <w:rPr>
                <w:rFonts w:ascii="Calibri" w:hAnsi="Calibri"/>
                <w:sz w:val="18"/>
              </w:rPr>
              <w:t>25 %</w:t>
            </w:r>
          </w:p>
        </w:tc>
        <w:tc>
          <w:tcPr>
            <w:tcW w:type="dxa" w:w="4139"/>
            <w:vAlign w:val="center"/>
          </w:tcPr>
          <w:p>
            <w:pPr>
              <w:spacing w:after="20" w:before="20"/>
              <w:jc w:val="left"/>
            </w:pPr>
            <w:r>
              <w:rPr>
                <w:rFonts w:ascii="Calibri" w:hAnsi="Calibri"/>
                <w:sz w:val="18"/>
              </w:rPr>
              <w:t>Évaluée sur le montant HT de l’UO proposé.</w:t>
            </w:r>
          </w:p>
        </w:tc>
      </w:tr>
    </w:tbl>
    <w:p/>
    <w:tbl>
      <w:tblPr>
        <w:tblW w:type="auto" w:w="0"/>
        <w:jc w:val="left"/>
        <w:tblLayout w:type="fixed"/>
        <w:tblLook w:firstColumn="1" w:firstRow="1" w:lastColumn="0" w:lastRow="0" w:noHBand="0" w:noVBand="1" w:val="04A0"/>
      </w:tblPr>
      <w:tblGrid>
        <w:gridCol w:w="10200"/>
      </w:tblGrid>
      <w:tr>
        <w:tc>
          <w:tcPr>
            <w:tcW w:type="dxa" w:w="9014"/>
            <w:shd w:fill="FDE9E7"/>
            <w:tcBorders>
              <w:top w:val="single" w:sz="10" w:color="D9B44A"/>
              <w:bottom w:val="single" w:sz="10" w:color="D9B44A"/>
              <w:left w:val="single" w:sz="10" w:color="D9B44A"/>
              <w:right w:val="single" w:sz="10" w:color="D9B44A"/>
            </w:tcBorders>
          </w:tcPr>
          <w:p>
            <w:pPr>
              <w:spacing w:before="80" w:after="80"/>
            </w:pPr>
            <w:r>
              <w:rPr>
                <w:rFonts w:ascii="Calibri" w:hAnsi="Calibri"/>
                <w:color w:val="C00000"/>
                <w:sz w:val="20"/>
              </w:rPr>
              <w:t>Seuils éliminatoires : une note technique inférieure à 5/10 élimine l’offre. Une offre financière située à plus de 30 % au-dessus de la moyenne des offres est également éliminée. Il n’y aura pas de négociation, même si une audition peut être organisée.</w:t>
            </w:r>
          </w:p>
        </w:tc>
      </w:tr>
    </w:tbl>
    <w:p/>
    <w:p>
      <w:pPr>
        <w:pStyle w:val="Heading1"/>
      </w:pPr>
      <w:r>
        <w:t>5. Dates d’échéance et jalons</w:t>
      </w:r>
    </w:p>
    <w:tbl>
      <w:tblPr>
        <w:tblStyle w:val="TableGrid"/>
        <w:tblW w:type="auto" w:w="0"/>
        <w:jc w:val="center"/>
        <w:tblLayout w:type="fixed"/>
        <w:tblLook w:firstColumn="1" w:firstRow="1" w:lastColumn="0" w:lastRow="0" w:noHBand="0" w:noVBand="1" w:val="04A0"/>
      </w:tblPr>
      <w:tblGrid>
        <w:gridCol w:w="3400"/>
        <w:gridCol w:w="3400"/>
        <w:gridCol w:w="3400"/>
      </w:tblGrid>
      <w:tr>
        <w:tc>
          <w:tcPr>
            <w:tcW w:type="dxa" w:w="2665"/>
            <w:vAlign w:val="center"/>
            <w:shd w:fill="D9EAF7"/>
          </w:tcPr>
          <w:p>
            <w:pPr>
              <w:jc w:val="center"/>
            </w:pPr>
            <w:r>
              <w:rPr>
                <w:b/>
                <w:color w:val="1F4E79"/>
                <w:sz w:val="18"/>
              </w:rPr>
              <w:t>Jalon</w:t>
            </w:r>
          </w:p>
        </w:tc>
        <w:tc>
          <w:tcPr>
            <w:tcW w:type="dxa" w:w="2098"/>
            <w:vAlign w:val="center"/>
            <w:shd w:fill="D9EAF7"/>
          </w:tcPr>
          <w:p>
            <w:pPr>
              <w:jc w:val="center"/>
            </w:pPr>
            <w:r>
              <w:rPr>
                <w:b/>
                <w:color w:val="1F4E79"/>
                <w:sz w:val="18"/>
              </w:rPr>
              <w:t>Date / échéance</w:t>
            </w:r>
          </w:p>
        </w:tc>
        <w:tc>
          <w:tcPr>
            <w:tcW w:type="dxa" w:w="4252"/>
            <w:vAlign w:val="center"/>
            <w:shd w:fill="D9EAF7"/>
          </w:tcPr>
          <w:p>
            <w:pPr>
              <w:jc w:val="center"/>
            </w:pPr>
            <w:r>
              <w:rPr>
                <w:b/>
                <w:color w:val="1F4E79"/>
                <w:sz w:val="18"/>
              </w:rPr>
              <w:t>Commentaire</w:t>
            </w:r>
          </w:p>
        </w:tc>
      </w:tr>
      <w:tr>
        <w:trPr>
          <w:trHeight w:hRule="atLeast" w:val="454"/>
        </w:trPr>
        <w:tc>
          <w:tcPr>
            <w:tcW w:type="dxa" w:w="2665"/>
            <w:vAlign w:val="center"/>
          </w:tcPr>
          <w:p>
            <w:pPr>
              <w:spacing w:after="20" w:before="20"/>
              <w:jc w:val="left"/>
            </w:pPr>
            <w:r>
              <w:rPr>
                <w:rFonts w:ascii="Calibri" w:hAnsi="Calibri"/>
                <w:sz w:val="18"/>
              </w:rPr>
              <w:t>Date d’envoi souhaitée</w:t>
            </w:r>
          </w:p>
        </w:tc>
        <w:tc>
          <w:tcPr>
            <w:tcW w:type="dxa" w:w="2098"/>
            <w:vAlign w:val="center"/>
          </w:tcPr>
          <w:p>
            <w:pPr>
              <w:spacing w:after="20" w:before="20"/>
              <w:jc w:val="left"/>
            </w:pPr>
            <w:r>
              <w:rPr>
                <w:rFonts w:ascii="Calibri" w:hAnsi="Calibri"/>
                <w:sz w:val="18"/>
              </w:rPr>
              <w:t>16/04/2026</w:t>
            </w:r>
          </w:p>
        </w:tc>
        <w:tc>
          <w:tcPr>
            <w:tcW w:type="dxa" w:w="4252"/>
            <w:vAlign w:val="center"/>
          </w:tcPr>
          <w:p>
            <w:pPr>
              <w:spacing w:after="20" w:before="20"/>
              <w:jc w:val="left"/>
            </w:pPr>
            <w:r>
              <w:rPr>
                <w:rFonts w:ascii="Calibri" w:hAnsi="Calibri"/>
                <w:sz w:val="18"/>
              </w:rPr>
              <w:t>Mentionnée dans le CCTP Excel.</w:t>
            </w:r>
          </w:p>
        </w:tc>
      </w:tr>
      <w:tr>
        <w:trPr>
          <w:trHeight w:hRule="atLeast" w:val="454"/>
        </w:trPr>
        <w:tc>
          <w:tcPr>
            <w:tcW w:type="dxa" w:w="2665"/>
            <w:vAlign w:val="center"/>
          </w:tcPr>
          <w:p>
            <w:pPr>
              <w:spacing w:after="20" w:before="20"/>
              <w:jc w:val="left"/>
            </w:pPr>
            <w:r>
              <w:rPr>
                <w:rFonts w:ascii="Calibri" w:hAnsi="Calibri"/>
                <w:sz w:val="18"/>
              </w:rPr>
              <w:t>Questions / compléments</w:t>
            </w:r>
          </w:p>
        </w:tc>
        <w:tc>
          <w:tcPr>
            <w:tcW w:type="dxa" w:w="2098"/>
            <w:vAlign w:val="center"/>
          </w:tcPr>
          <w:p>
            <w:pPr>
              <w:spacing w:after="20" w:before="20"/>
              <w:jc w:val="left"/>
            </w:pPr>
            <w:r>
              <w:rPr>
                <w:rFonts w:ascii="Calibri" w:hAnsi="Calibri"/>
                <w:sz w:val="18"/>
              </w:rPr>
              <w:t>23/04/2026 à 12h00</w:t>
            </w:r>
          </w:p>
        </w:tc>
        <w:tc>
          <w:tcPr>
            <w:tcW w:type="dxa" w:w="4252"/>
            <w:vAlign w:val="center"/>
          </w:tcPr>
          <w:p>
            <w:pPr>
              <w:spacing w:after="20" w:before="20"/>
              <w:jc w:val="left"/>
            </w:pPr>
            <w:r>
              <w:rPr>
                <w:rFonts w:ascii="Calibri" w:hAnsi="Calibri"/>
                <w:sz w:val="18"/>
              </w:rPr>
              <w:t>À adresser via achatpublic.com.</w:t>
            </w:r>
          </w:p>
        </w:tc>
      </w:tr>
      <w:tr>
        <w:trPr>
          <w:trHeight w:hRule="atLeast" w:val="454"/>
        </w:trPr>
        <w:tc>
          <w:tcPr>
            <w:tcW w:type="dxa" w:w="2665"/>
            <w:vAlign w:val="center"/>
          </w:tcPr>
          <w:p>
            <w:pPr>
              <w:spacing w:after="20" w:before="20"/>
              <w:jc w:val="left"/>
            </w:pPr>
            <w:r>
              <w:rPr>
                <w:rFonts w:ascii="Calibri" w:hAnsi="Calibri"/>
                <w:sz w:val="18"/>
              </w:rPr>
              <w:t>Remise des offres</w:t>
            </w:r>
          </w:p>
        </w:tc>
        <w:tc>
          <w:tcPr>
            <w:tcW w:type="dxa" w:w="2098"/>
            <w:vAlign w:val="center"/>
          </w:tcPr>
          <w:p>
            <w:pPr>
              <w:spacing w:after="20" w:before="20"/>
              <w:jc w:val="left"/>
            </w:pPr>
            <w:r>
              <w:rPr>
                <w:rFonts w:ascii="Calibri" w:hAnsi="Calibri"/>
                <w:sz w:val="18"/>
              </w:rPr>
              <w:t>27/04/2026 à 10h00</w:t>
            </w:r>
          </w:p>
        </w:tc>
        <w:tc>
          <w:tcPr>
            <w:tcW w:type="dxa" w:w="4252"/>
            <w:vAlign w:val="center"/>
          </w:tcPr>
          <w:p>
            <w:pPr>
              <w:spacing w:after="20" w:before="20"/>
              <w:jc w:val="left"/>
            </w:pPr>
            <w:r>
              <w:rPr>
                <w:rFonts w:ascii="Calibri" w:hAnsi="Calibri"/>
                <w:sz w:val="18"/>
              </w:rPr>
              <w:t>Réponse exclusivement sur la plateforme, en reprenant la référence 23915SA224MS C4 UO42.</w:t>
            </w:r>
          </w:p>
        </w:tc>
      </w:tr>
      <w:tr>
        <w:trPr>
          <w:trHeight w:hRule="atLeast" w:val="454"/>
        </w:trPr>
        <w:tc>
          <w:tcPr>
            <w:tcW w:type="dxa" w:w="2665"/>
            <w:vAlign w:val="center"/>
          </w:tcPr>
          <w:p>
            <w:pPr>
              <w:spacing w:after="20" w:before="20"/>
              <w:jc w:val="left"/>
            </w:pPr>
            <w:r>
              <w:rPr>
                <w:rFonts w:ascii="Calibri" w:hAnsi="Calibri"/>
                <w:sz w:val="18"/>
              </w:rPr>
              <w:t>Soutenances éventuelles</w:t>
            </w:r>
          </w:p>
        </w:tc>
        <w:tc>
          <w:tcPr>
            <w:tcW w:type="dxa" w:w="2098"/>
            <w:vAlign w:val="center"/>
          </w:tcPr>
          <w:p>
            <w:pPr>
              <w:spacing w:after="20" w:before="20"/>
              <w:jc w:val="left"/>
            </w:pPr>
            <w:r>
              <w:rPr>
                <w:rFonts w:ascii="Calibri" w:hAnsi="Calibri"/>
                <w:sz w:val="18"/>
              </w:rPr>
              <w:t>Semaine du 27/04/2026</w:t>
            </w:r>
          </w:p>
        </w:tc>
        <w:tc>
          <w:tcPr>
            <w:tcW w:type="dxa" w:w="4252"/>
            <w:vAlign w:val="center"/>
          </w:tcPr>
          <w:p>
            <w:pPr>
              <w:spacing w:after="20" w:before="20"/>
              <w:jc w:val="left"/>
            </w:pPr>
            <w:r>
              <w:rPr>
                <w:rFonts w:ascii="Calibri" w:hAnsi="Calibri"/>
                <w:sz w:val="18"/>
              </w:rPr>
              <w:t>Sur site à Paris ou en visioconférence.</w:t>
            </w:r>
          </w:p>
        </w:tc>
      </w:tr>
      <w:tr>
        <w:trPr>
          <w:trHeight w:hRule="atLeast" w:val="454"/>
        </w:trPr>
        <w:tc>
          <w:tcPr>
            <w:tcW w:type="dxa" w:w="2665"/>
            <w:vAlign w:val="center"/>
          </w:tcPr>
          <w:p>
            <w:pPr>
              <w:spacing w:after="20" w:before="20"/>
              <w:jc w:val="left"/>
            </w:pPr>
            <w:r>
              <w:rPr>
                <w:rFonts w:ascii="Calibri" w:hAnsi="Calibri"/>
                <w:sz w:val="18"/>
              </w:rPr>
              <w:t>Validité des offres</w:t>
            </w:r>
          </w:p>
        </w:tc>
        <w:tc>
          <w:tcPr>
            <w:tcW w:type="dxa" w:w="2098"/>
            <w:vAlign w:val="center"/>
          </w:tcPr>
          <w:p>
            <w:pPr>
              <w:spacing w:after="20" w:before="20"/>
              <w:jc w:val="left"/>
            </w:pPr>
            <w:r>
              <w:rPr>
                <w:rFonts w:ascii="Calibri" w:hAnsi="Calibri"/>
                <w:sz w:val="18"/>
              </w:rPr>
              <w:t>120 jours à compter de la date limite de remise</w:t>
            </w:r>
          </w:p>
        </w:tc>
        <w:tc>
          <w:tcPr>
            <w:tcW w:type="dxa" w:w="4252"/>
            <w:vAlign w:val="center"/>
          </w:tcPr>
          <w:p>
            <w:pPr>
              <w:spacing w:after="20" w:before="20"/>
              <w:jc w:val="left"/>
            </w:pPr>
            <w:r>
              <w:rPr>
                <w:rFonts w:ascii="Calibri" w:hAnsi="Calibri"/>
                <w:sz w:val="18"/>
              </w:rPr>
              <w:t>À intégrer dans le pilotage commercial.</w:t>
            </w:r>
          </w:p>
        </w:tc>
      </w:tr>
      <w:tr>
        <w:trPr>
          <w:trHeight w:hRule="atLeast" w:val="454"/>
        </w:trPr>
        <w:tc>
          <w:tcPr>
            <w:tcW w:type="dxa" w:w="2665"/>
            <w:vAlign w:val="center"/>
          </w:tcPr>
          <w:p>
            <w:pPr>
              <w:spacing w:after="20" w:before="20"/>
              <w:jc w:val="left"/>
            </w:pPr>
            <w:r>
              <w:rPr>
                <w:rFonts w:ascii="Calibri" w:hAnsi="Calibri"/>
                <w:sz w:val="18"/>
              </w:rPr>
              <w:t>Démarrage prévisionnel indiqué dans le CCTP</w:t>
            </w:r>
          </w:p>
        </w:tc>
        <w:tc>
          <w:tcPr>
            <w:tcW w:type="dxa" w:w="2098"/>
            <w:vAlign w:val="center"/>
          </w:tcPr>
          <w:p>
            <w:pPr>
              <w:spacing w:after="20" w:before="20"/>
              <w:jc w:val="left"/>
            </w:pPr>
            <w:r>
              <w:rPr>
                <w:rFonts w:ascii="Calibri" w:hAnsi="Calibri"/>
                <w:sz w:val="18"/>
              </w:rPr>
              <w:t>23/03/2026</w:t>
            </w:r>
          </w:p>
        </w:tc>
        <w:tc>
          <w:tcPr>
            <w:tcW w:type="dxa" w:w="4252"/>
            <w:vAlign w:val="center"/>
          </w:tcPr>
          <w:p>
            <w:pPr>
              <w:spacing w:after="20" w:before="20"/>
              <w:jc w:val="left"/>
            </w:pPr>
            <w:r>
              <w:rPr>
                <w:rFonts w:ascii="Calibri" w:hAnsi="Calibri"/>
                <w:sz w:val="18"/>
              </w:rPr>
              <w:t>Date incohérente car antérieure à l’envoi et à la remise des offres ; point à clarifier avec l’acheteur.</w:t>
            </w:r>
          </w:p>
        </w:tc>
      </w:tr>
    </w:tbl>
    <w:p/>
    <w:p>
      <w:pPr>
        <w:pStyle w:val="Heading1"/>
      </w:pPr>
      <w:r>
        <w:t>6. TJM et lecture financière</w:t>
      </w:r>
    </w:p>
    <w:p>
      <w:pPr>
        <w:pStyle w:val="Heading2"/>
      </w:pPr>
      <w:r>
        <w:t>6.1 Ce que disent les documents</w:t>
      </w:r>
    </w:p>
    <w:p>
      <w:pPr>
        <w:spacing w:after="40"/>
        <w:ind w:left="227"/>
        <w:numPr>
          <w:ilvl w:val="0"/>
          <w:numId w:val="1"/>
        </w:numPr>
      </w:pPr>
      <w:r>
        <w:t>Le marché est traité à prix fermes pendant toute sa durée, reconductions comprises.</w:t>
      </w:r>
    </w:p>
    <w:p>
      <w:pPr>
        <w:spacing w:after="40"/>
        <w:ind w:left="227"/>
        <w:numPr>
          <w:ilvl w:val="0"/>
          <w:numId w:val="1"/>
        </w:numPr>
      </w:pPr>
      <w:r>
        <w:t>La charge prévisionnelle est estimée à 800 jours environ sur la durée du marché ; elle est donnée à titre indicatif et n’est pas contractuelle.</w:t>
      </w:r>
    </w:p>
    <w:p>
      <w:pPr>
        <w:spacing w:after="40"/>
        <w:ind w:left="227"/>
        <w:numPr>
          <w:ilvl w:val="0"/>
          <w:numId w:val="1"/>
        </w:numPr>
      </w:pPr>
      <w:r>
        <w:t>La valeur estimée du marché indiquée dans le CCTP est de 600 000 € HT.</w:t>
      </w:r>
    </w:p>
    <w:p>
      <w:pPr>
        <w:spacing w:after="40"/>
        <w:ind w:left="227"/>
        <w:numPr>
          <w:ilvl w:val="0"/>
          <w:numId w:val="1"/>
        </w:numPr>
      </w:pPr>
      <w:r>
        <w:t>Le maximum contractuel est fixé à 800 000 € HT sur la durée totale du marché.</w:t>
      </w:r>
    </w:p>
    <w:p>
      <w:pPr>
        <w:spacing w:after="40"/>
        <w:ind w:left="227"/>
        <w:numPr>
          <w:ilvl w:val="0"/>
          <w:numId w:val="1"/>
        </w:numPr>
      </w:pPr>
      <w:r>
        <w:t>L’annexe financière AF est structurée sur une UO journalière de quantité 800.</w:t>
      </w:r>
    </w:p>
    <w:p>
      <w:pPr>
        <w:pStyle w:val="Heading2"/>
      </w:pPr>
      <w:r>
        <w:t>6.2 TJM trouvé ou non trouvé</w:t>
      </w:r>
    </w:p>
    <w:p>
      <w:r>
        <w:t>Le TJM n’est pas renseigné dans les fichiers fournis. La cellule de prix à compléter est l’onglet AF, case D14 (« Prix proposé en € HT »). Le document ne contient donc pas de tarif déjà saisi permettant d’identifier un TJM imposé ou proposé.</w:t>
      </w:r>
    </w:p>
    <w:tbl>
      <w:tblPr>
        <w:tblW w:type="auto" w:w="0"/>
        <w:jc w:val="left"/>
        <w:tblLayout w:type="fixed"/>
        <w:tblLook w:firstColumn="1" w:firstRow="1" w:lastColumn="0" w:lastRow="0" w:noHBand="0" w:noVBand="1" w:val="04A0"/>
      </w:tblPr>
      <w:tblGrid>
        <w:gridCol w:w="10200"/>
      </w:tblGrid>
      <w:tr>
        <w:tc>
          <w:tcPr>
            <w:tcW w:type="dxa" w:w="9014"/>
            <w:shd w:fill="FFF2CC"/>
            <w:tcBorders>
              <w:top w:val="single" w:sz="10" w:color="D9B44A"/>
              <w:bottom w:val="single" w:sz="10" w:color="D9B44A"/>
              <w:left w:val="single" w:sz="10" w:color="D9B44A"/>
              <w:right w:val="single" w:sz="10" w:color="D9B44A"/>
            </w:tcBorders>
          </w:tcPr>
          <w:p>
            <w:pPr>
              <w:spacing w:before="80" w:after="80"/>
            </w:pPr>
            <w:r>
              <w:rPr>
                <w:rFonts w:ascii="Calibri" w:hAnsi="Calibri"/>
                <w:color w:val="C05000"/>
                <w:sz w:val="20"/>
              </w:rPr>
              <w:t>En l’état, il faut considérer que le TJM reste à construire par le soumissionnaire. Les documents fixent le cadre financier, mais pas le prix.</w:t>
            </w:r>
          </w:p>
        </w:tc>
      </w:tr>
    </w:tbl>
    <w:p/>
    <w:p>
      <w:pPr>
        <w:pStyle w:val="Heading2"/>
      </w:pPr>
      <w:r>
        <w:t>6.3 Ratios indicatifs utiles pour le positionnement</w:t>
      </w:r>
    </w:p>
    <w:tbl>
      <w:tblPr>
        <w:tblStyle w:val="TableGrid"/>
        <w:tblW w:type="auto" w:w="0"/>
        <w:jc w:val="center"/>
        <w:tblLayout w:type="fixed"/>
        <w:tblLook w:firstColumn="1" w:firstRow="1" w:lastColumn="0" w:lastRow="0" w:noHBand="0" w:noVBand="1" w:val="04A0"/>
      </w:tblPr>
      <w:tblGrid>
        <w:gridCol w:w="2550"/>
        <w:gridCol w:w="2550"/>
        <w:gridCol w:w="2550"/>
        <w:gridCol w:w="2550"/>
      </w:tblGrid>
      <w:tr>
        <w:tc>
          <w:tcPr>
            <w:tcW w:type="dxa" w:w="2721"/>
            <w:vAlign w:val="center"/>
            <w:shd w:fill="D9EAF7"/>
          </w:tcPr>
          <w:p>
            <w:pPr>
              <w:jc w:val="center"/>
            </w:pPr>
            <w:r>
              <w:rPr>
                <w:b/>
                <w:color w:val="1F4E79"/>
                <w:sz w:val="19"/>
              </w:rPr>
              <w:t>Base de calcul</w:t>
            </w:r>
          </w:p>
        </w:tc>
        <w:tc>
          <w:tcPr>
            <w:tcW w:type="dxa" w:w="1984"/>
            <w:vAlign w:val="center"/>
            <w:shd w:fill="D9EAF7"/>
          </w:tcPr>
          <w:p>
            <w:pPr>
              <w:jc w:val="center"/>
            </w:pPr>
            <w:r>
              <w:rPr>
                <w:b/>
                <w:color w:val="1F4E79"/>
                <w:sz w:val="19"/>
              </w:rPr>
              <w:t>Montant</w:t>
            </w:r>
          </w:p>
        </w:tc>
        <w:tc>
          <w:tcPr>
            <w:tcW w:type="dxa" w:w="1417"/>
            <w:vAlign w:val="center"/>
            <w:shd w:fill="D9EAF7"/>
          </w:tcPr>
          <w:p>
            <w:pPr>
              <w:jc w:val="center"/>
            </w:pPr>
            <w:r>
              <w:rPr>
                <w:b/>
                <w:color w:val="1F4E79"/>
                <w:sz w:val="19"/>
              </w:rPr>
              <w:t>Charge</w:t>
            </w:r>
          </w:p>
        </w:tc>
        <w:tc>
          <w:tcPr>
            <w:tcW w:type="dxa" w:w="2778"/>
            <w:vAlign w:val="center"/>
            <w:shd w:fill="D9EAF7"/>
          </w:tcPr>
          <w:p>
            <w:pPr>
              <w:jc w:val="center"/>
            </w:pPr>
            <w:r>
              <w:rPr>
                <w:b/>
                <w:color w:val="1F4E79"/>
                <w:sz w:val="19"/>
              </w:rPr>
              <w:t>Ratio indicatif</w:t>
            </w:r>
          </w:p>
        </w:tc>
      </w:tr>
      <w:tr>
        <w:trPr>
          <w:trHeight w:hRule="atLeast" w:val="454"/>
        </w:trPr>
        <w:tc>
          <w:tcPr>
            <w:tcW w:type="dxa" w:w="2721"/>
            <w:vAlign w:val="center"/>
          </w:tcPr>
          <w:p>
            <w:pPr>
              <w:spacing w:after="20" w:before="20"/>
              <w:jc w:val="left"/>
            </w:pPr>
            <w:r>
              <w:rPr>
                <w:rFonts w:ascii="Calibri" w:hAnsi="Calibri"/>
                <w:sz w:val="19"/>
              </w:rPr>
              <w:t>Valeur estimée du marché</w:t>
            </w:r>
          </w:p>
        </w:tc>
        <w:tc>
          <w:tcPr>
            <w:tcW w:type="dxa" w:w="1984"/>
            <w:vAlign w:val="center"/>
          </w:tcPr>
          <w:p>
            <w:pPr>
              <w:spacing w:after="20" w:before="20"/>
              <w:jc w:val="left"/>
            </w:pPr>
            <w:r>
              <w:rPr>
                <w:rFonts w:ascii="Calibri" w:hAnsi="Calibri"/>
                <w:sz w:val="19"/>
              </w:rPr>
              <w:t>600 000 € HT</w:t>
            </w:r>
          </w:p>
        </w:tc>
        <w:tc>
          <w:tcPr>
            <w:tcW w:type="dxa" w:w="1417"/>
            <w:vAlign w:val="center"/>
          </w:tcPr>
          <w:p>
            <w:pPr>
              <w:spacing w:after="20" w:before="20"/>
              <w:jc w:val="left"/>
            </w:pPr>
            <w:r>
              <w:rPr>
                <w:rFonts w:ascii="Calibri" w:hAnsi="Calibri"/>
                <w:sz w:val="19"/>
              </w:rPr>
              <w:t>800 jours</w:t>
            </w:r>
          </w:p>
        </w:tc>
        <w:tc>
          <w:tcPr>
            <w:tcW w:type="dxa" w:w="2778"/>
            <w:vAlign w:val="center"/>
          </w:tcPr>
          <w:p>
            <w:pPr>
              <w:spacing w:after="20" w:before="20"/>
              <w:jc w:val="left"/>
            </w:pPr>
            <w:r>
              <w:rPr>
                <w:rFonts w:ascii="Calibri" w:hAnsi="Calibri"/>
                <w:sz w:val="19"/>
              </w:rPr>
              <w:t>≈ 750 € HT / jour</w:t>
            </w:r>
          </w:p>
        </w:tc>
      </w:tr>
      <w:tr>
        <w:trPr>
          <w:trHeight w:hRule="atLeast" w:val="454"/>
        </w:trPr>
        <w:tc>
          <w:tcPr>
            <w:tcW w:type="dxa" w:w="2721"/>
            <w:vAlign w:val="center"/>
          </w:tcPr>
          <w:p>
            <w:pPr>
              <w:spacing w:after="20" w:before="20"/>
              <w:jc w:val="left"/>
            </w:pPr>
            <w:r>
              <w:rPr>
                <w:rFonts w:ascii="Calibri" w:hAnsi="Calibri"/>
                <w:sz w:val="19"/>
              </w:rPr>
              <w:t>Plafond contractuel</w:t>
            </w:r>
          </w:p>
        </w:tc>
        <w:tc>
          <w:tcPr>
            <w:tcW w:type="dxa" w:w="1984"/>
            <w:vAlign w:val="center"/>
          </w:tcPr>
          <w:p>
            <w:pPr>
              <w:spacing w:after="20" w:before="20"/>
              <w:jc w:val="left"/>
            </w:pPr>
            <w:r>
              <w:rPr>
                <w:rFonts w:ascii="Calibri" w:hAnsi="Calibri"/>
                <w:sz w:val="19"/>
              </w:rPr>
              <w:t>800 000 € HT</w:t>
            </w:r>
          </w:p>
        </w:tc>
        <w:tc>
          <w:tcPr>
            <w:tcW w:type="dxa" w:w="1417"/>
            <w:vAlign w:val="center"/>
          </w:tcPr>
          <w:p>
            <w:pPr>
              <w:spacing w:after="20" w:before="20"/>
              <w:jc w:val="left"/>
            </w:pPr>
            <w:r>
              <w:rPr>
                <w:rFonts w:ascii="Calibri" w:hAnsi="Calibri"/>
                <w:sz w:val="19"/>
              </w:rPr>
              <w:t>800 jours</w:t>
            </w:r>
          </w:p>
        </w:tc>
        <w:tc>
          <w:tcPr>
            <w:tcW w:type="dxa" w:w="2778"/>
            <w:vAlign w:val="center"/>
          </w:tcPr>
          <w:p>
            <w:pPr>
              <w:spacing w:after="20" w:before="20"/>
              <w:jc w:val="left"/>
            </w:pPr>
            <w:r>
              <w:rPr>
                <w:rFonts w:ascii="Calibri" w:hAnsi="Calibri"/>
                <w:sz w:val="19"/>
              </w:rPr>
              <w:t>≈ 1 000 € HT / jour</w:t>
            </w:r>
          </w:p>
        </w:tc>
      </w:tr>
    </w:tbl>
    <w:p/>
    <w:p>
      <w:r>
        <w:t>Ces ratios sont de simples ordres de grandeur reconstitués à partir des documents. Ils ne valent ni prix cible officiel, ni consigne de chiffrage de l’acheteur.</w:t>
      </w:r>
    </w:p>
    <w:p>
      <w:pPr>
        <w:pStyle w:val="Heading1"/>
      </w:pPr>
      <w:r>
        <w:t>7. Points de vigilance</w:t>
      </w:r>
    </w:p>
    <w:p>
      <w:pPr>
        <w:spacing w:after="40"/>
        <w:ind w:left="227"/>
        <w:numPr>
          <w:ilvl w:val="0"/>
          <w:numId w:val="1"/>
        </w:numPr>
      </w:pPr>
      <w:r>
        <w:t>Une seule offre et un seul profil sont autorisés ; toute offre multi-profils serait irrégulière.</w:t>
      </w:r>
    </w:p>
    <w:p>
      <w:pPr>
        <w:spacing w:after="40"/>
        <w:ind w:left="227"/>
        <w:numPr>
          <w:ilvl w:val="0"/>
          <w:numId w:val="1"/>
        </w:numPr>
      </w:pPr>
      <w:r>
        <w:t>La stabilité de la ressource présentée est importante : l’absence de période de recouvrement en cas de remplacement est pénalisée.</w:t>
      </w:r>
    </w:p>
    <w:p>
      <w:pPr>
        <w:spacing w:after="40"/>
        <w:ind w:left="227"/>
        <w:numPr>
          <w:ilvl w:val="0"/>
          <w:numId w:val="1"/>
        </w:numPr>
      </w:pPr>
      <w:r>
        <w:t>Le marché impose un référent côté titulaire distinct de l’intervenant opérationnel.</w:t>
      </w:r>
    </w:p>
    <w:p>
      <w:pPr>
        <w:spacing w:after="40"/>
        <w:ind w:left="227"/>
        <w:numPr>
          <w:ilvl w:val="0"/>
          <w:numId w:val="1"/>
        </w:numPr>
      </w:pPr>
      <w:r>
        <w:t>La démonstration des compétences doit être très cohérente entre matrice, CV, références et descriptions de mission.</w:t>
      </w:r>
    </w:p>
    <w:p>
      <w:pPr>
        <w:spacing w:after="40"/>
        <w:ind w:left="227"/>
        <w:numPr>
          <w:ilvl w:val="0"/>
          <w:numId w:val="1"/>
        </w:numPr>
      </w:pPr>
      <w:r>
        <w:t>Le projet attend une logique standard ServiceNow : une réponse trop orientée spécifique / sur-mesure serait probablement moins convaincante.</w:t>
      </w:r>
    </w:p>
    <w:p>
      <w:pPr>
        <w:spacing w:after="40"/>
        <w:ind w:left="227"/>
        <w:numPr>
          <w:ilvl w:val="0"/>
          <w:numId w:val="1"/>
        </w:numPr>
      </w:pPr>
      <w:r>
        <w:t>Le point le plus sensible du mémoire est la preuve d’une expérience de déploiement CSM Pro sur des contextes comparables.</w:t>
      </w:r>
    </w:p>
    <w:p>
      <w:pPr>
        <w:spacing w:after="40"/>
        <w:ind w:left="227"/>
        <w:numPr>
          <w:ilvl w:val="0"/>
          <w:numId w:val="1"/>
        </w:numPr>
      </w:pPr>
      <w:r>
        <w:t>Le démarrage prévisionnel saisi dans le CCTP Excel semble antérieur à la consultation ; une demande de clarification peut être pertinente.</w:t>
      </w:r>
    </w:p>
    <w:p>
      <w:pPr>
        <w:pStyle w:val="Heading1"/>
      </w:pPr>
      <w:r>
        <w:t>8. Recommandation de réponse</w:t>
      </w:r>
    </w:p>
    <w:p>
      <w:r>
        <w:t>La réponse doit être construite comme une démonstration de fiabilité sur un programme CRM critique, et non comme une simple présentation de CV. Il faut montrer :</w:t>
      </w:r>
    </w:p>
    <w:p>
      <w:pPr>
        <w:spacing w:after="40"/>
        <w:ind w:left="227"/>
        <w:numPr>
          <w:ilvl w:val="0"/>
          <w:numId w:val="1"/>
        </w:numPr>
      </w:pPr>
      <w:r>
        <w:t>un expert CSM Pro ServiceNow immédiatement opérationnel ;</w:t>
      </w:r>
    </w:p>
    <w:p>
      <w:pPr>
        <w:spacing w:after="40"/>
        <w:ind w:left="227"/>
        <w:numPr>
          <w:ilvl w:val="0"/>
          <w:numId w:val="1"/>
        </w:numPr>
      </w:pPr>
      <w:r>
        <w:t>une vraie expérience de déploiement à grande échelle ;</w:t>
      </w:r>
    </w:p>
    <w:p>
      <w:pPr>
        <w:spacing w:after="40"/>
        <w:ind w:left="227"/>
        <w:numPr>
          <w:ilvl w:val="0"/>
          <w:numId w:val="1"/>
        </w:numPr>
      </w:pPr>
      <w:r>
        <w:t>une capacité à piloter le build agile et le paramétrage fonctionnel ;</w:t>
      </w:r>
    </w:p>
    <w:p>
      <w:pPr>
        <w:spacing w:after="40"/>
        <w:ind w:left="227"/>
        <w:numPr>
          <w:ilvl w:val="0"/>
          <w:numId w:val="1"/>
        </w:numPr>
      </w:pPr>
      <w:r>
        <w:t>une posture de conseil orientée standard, adoption et transfert de compétences ;</w:t>
      </w:r>
    </w:p>
    <w:p>
      <w:pPr>
        <w:spacing w:after="40"/>
        <w:ind w:left="227"/>
        <w:numPr>
          <w:ilvl w:val="0"/>
          <w:numId w:val="1"/>
        </w:numPr>
      </w:pPr>
      <w:r>
        <w:t>un positionnement financier crédible par rapport au marché, sans s’exposer au seuil d’élimination sur la valeur financière.</w:t>
      </w:r>
    </w:p>
    <w:p>
      <w:pPr>
        <w:pStyle w:val="Heading1"/>
      </w:pPr>
      <w:r>
        <w:t>Annexe – Références de travail</w:t>
      </w:r>
    </w:p>
    <w:p>
      <w:pPr>
        <w:pStyle w:val="Small"/>
        <w:spacing w:after="20"/>
      </w:pPr>
      <w:r>
        <w:t>Source 1 – PDF « ae-rc-ccp_23915sa224ms-c4-uo42.pdf » : pages 1, 5 à 14, 27 à 30.</w:t>
      </w:r>
    </w:p>
    <w:p>
      <w:pPr>
        <w:pStyle w:val="Small"/>
        <w:spacing w:after="20"/>
      </w:pPr>
      <w:r>
        <w:t>Source 2 – Excel « 23915sa224ms_cctp_crt_af.xlsx » : onglet CCTP (lignes 11 à 79), onglet CRT, onglet AF.</w:t>
      </w:r>
    </w:p>
    <w:p>
      <w:pPr>
        <w:pStyle w:val="Small"/>
        <w:spacing w:after="20"/>
      </w:pPr>
      <w:r>
        <w:t>Repères utiles : CCTP!A44 à A46 pour le contexte et les missions ; CCTP!A48:D49 pour les livrables ; CCTP!A55:G76 pour la matrice de compétences ; AF!D14 pour le prix HT à renseigner.</w:t>
      </w:r>
    </w:p>
    <w:p>
      <w:pPr>
        <w:pStyle w:val="Small"/>
        <w:spacing w:after="20"/>
      </w:pPr>
      <w:r>
        <w:t>Observation de cohérence : CCTP!A79 mentionne une date prévisionnelle de démarrage au 23/03/2026, à confronter avec les dates de consultation.</w:t>
      </w:r>
    </w:p>
    <w:sectPr w:rsidR="00FC693F" w:rsidRPr="0006063C" w:rsidSect="00034616">
      <w:headerReference w:type="default" r:id="rId9"/>
      <w:footerReference w:type="default" r:id="rId10"/>
      <w:pgSz w:w="12240" w:h="15840"/>
      <w:pgMar w:top="1020" w:right="1020" w:bottom="85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95959"/>
        <w:sz w:val="17"/>
      </w:rPr>
      <w:t xml:space="preserve">Document de synthèse | Page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595959"/>
        <w:sz w:val="17"/>
      </w:rPr>
      <w:t>Analyse de consultation – 23915SA224MS C4 UO42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eastAsia="Calibr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0070C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Calibri" w:hAnsi="Calibri" w:eastAsia="Calibri"/>
      <w:color w:val="595959"/>
      <w:sz w:val="17"/>
    </w:rPr>
  </w:style>
  <w:style w:type="paragraph" w:customStyle="1" w:styleId="BoxText">
    <w:name w:val="BoxText"/>
    <w:pPr>
      <w:spacing w:after="40"/>
    </w:pPr>
    <w:rPr>
      <w:rFonts w:ascii="Calibri" w:hAnsi="Calibri" w:eastAsia="Calibri"/>
      <w:color w:val="222222"/>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AE647B1-279A-42D1-B609-57337A3EE851}"/>
</file>

<file path=customXml/itemProps3.xml><?xml version="1.0" encoding="utf-8"?>
<ds:datastoreItem xmlns:ds="http://schemas.openxmlformats.org/officeDocument/2006/customXml" ds:itemID="{84919288-5C1A-4AD5-8F8D-A476E33A5CEF}"/>
</file>

<file path=customXml/itemProps4.xml><?xml version="1.0" encoding="utf-8"?>
<ds:datastoreItem xmlns:ds="http://schemas.openxmlformats.org/officeDocument/2006/customXml" ds:itemID="{50981BA5-E4AE-4E58-AFD9-70075252829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ies>
</file>