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318"/>
      </w:tblGrid>
      <w:tr>
        <w:tc>
          <w:tcPr>
            <w:tcW w:type="dxa" w:w="9576"/>
            <w:shd w:fill="0B1F3A"/>
          </w:tcPr>
          <w:p>
            <w:pPr>
              <w:spacing w:before="1200" w:after="160"/>
              <w:jc w:val="center"/>
            </w:pPr>
            <w:r>
              <w:rPr>
                <w:rFonts w:ascii="Liberation Sans" w:hAnsi="Liberation Sans"/>
                <w:b/>
                <w:color w:val="FFFFFF"/>
                <w:sz w:val="44"/>
              </w:rPr>
              <w:t>PLAN DE COMPTE STRATÉGIQUE</w:t>
            </w:r>
          </w:p>
          <w:p>
            <w:pPr>
              <w:jc w:val="center"/>
            </w:pPr>
            <w:r>
              <w:rPr>
                <w:rFonts w:ascii="Liberation Sans" w:hAnsi="Liberation Sans"/>
                <w:b/>
                <w:color w:val="FFFFFF"/>
                <w:sz w:val="64"/>
              </w:rPr>
              <w:t>CMA CGM</w:t>
            </w:r>
          </w:p>
          <w:p>
            <w:pPr>
              <w:jc w:val="center"/>
            </w:pPr>
            <w:r>
              <w:rPr>
                <w:rFonts w:ascii="Liberation Sans" w:hAnsi="Liberation Sans"/>
                <w:color w:val="FFFFFF"/>
                <w:sz w:val="24"/>
              </w:rPr>
              <w:t>Document de travail commercial - version sources publiques</w:t>
            </w:r>
          </w:p>
          <w:p>
            <w:pPr>
              <w:jc w:val="center"/>
            </w:pPr>
            <w:r>
              <w:rPr>
                <w:rFonts w:ascii="Liberation Sans" w:hAnsi="Liberation Sans"/>
                <w:color w:val="FFFFFF"/>
                <w:sz w:val="20"/>
              </w:rPr>
              <w:t>Mise à jour : 30 avril 2026</w:t>
            </w:r>
          </w:p>
          <w:p/>
          <w:p/>
          <w:p/>
          <w:p/>
          <w:p/>
        </w:tc>
      </w:tr>
    </w:tbl>
    <w:p/>
    <w:tbl>
      <w:tblPr>
        <w:tblW w:type="auto" w:w="0"/>
        <w:jc w:val="center"/>
        <w:tblLayout w:type="fixed"/>
        <w:tblLook w:firstColumn="1" w:firstRow="1" w:lastColumn="0" w:lastRow="0" w:noHBand="0" w:noVBand="1" w:val="04A0"/>
      </w:tblPr>
      <w:tblGrid>
        <w:gridCol w:w="10318"/>
      </w:tblGrid>
      <w:tr>
        <w:tc>
          <w:tcPr>
            <w:tcW w:type="dxa" w:w="9576"/>
            <w:shd w:fill="D9EAF7"/>
          </w:tcPr>
          <w:p>
            <w:pPr>
              <w:spacing w:after="40"/>
            </w:pPr>
            <w:r>
              <w:rPr>
                <w:rFonts w:ascii="Liberation Sans" w:hAnsi="Liberation Sans"/>
                <w:b/>
                <w:color w:val="0B1F3A"/>
                <w:sz w:val="19"/>
              </w:rPr>
              <w:t>Mode d'emploi</w:t>
            </w:r>
          </w:p>
          <w:p>
            <w:pPr>
              <w:spacing w:after="0"/>
            </w:pPr>
            <w:r>
              <w:rPr>
                <w:rFonts w:ascii="Liberation Sans" w:hAnsi="Liberation Sans"/>
                <w:sz w:val="17"/>
              </w:rPr>
              <w:t>Ce document vise à préparer une stratégie de pénétration du compte CMA CGM : contexte groupe, enjeux probables, structure de décision, sites clés, contacts publics et angles d'approche. Les emails directs non publiés ne sont pas inventés ; les coordonnées fonctionnelles officielles et les standards sont indiqués.</w:t>
            </w:r>
          </w:p>
        </w:tc>
      </w:tr>
    </w:tbl>
    <w:p/>
    <w:p>
      <w:pPr>
        <w:pStyle w:val="Heading1"/>
      </w:pPr>
      <w:r>
        <w:rPr>
          <w:rFonts w:ascii="Liberation Sans" w:hAnsi="Liberation Sans"/>
          <w:color w:val="0B1F3A"/>
          <w:sz w:val="36"/>
        </w:rPr>
        <w:t>Synthèse exécutive</w:t>
      </w:r>
    </w:p>
    <w:p>
      <w:pPr>
        <w:spacing w:after="100"/>
      </w:pPr>
      <w:r>
        <w:rPr>
          <w:rFonts w:ascii="Liberation Sans" w:hAnsi="Liberation Sans"/>
          <w:sz w:val="19"/>
        </w:rPr>
        <w:t>CMA CGM est un compte stratégique global, privé, familial et fortement centralisé autour de Marseille, mais avec une exécution opérationnelle très internationale. Le groupe combine transport maritime, logistique, fret aérien, terminaux portuaires et médias. Le compte est à adresser par une approche multi-entrées : IT / IA / cyber, achats groupe, opérations shipping, CEVA Logistics, ports et terminaux, finance / performance / risk.</w:t>
      </w:r>
    </w:p>
    <w:tbl>
      <w:tblPr>
        <w:tblStyle w:val="TableGrid"/>
        <w:tblW w:type="auto" w:w="0"/>
        <w:jc w:val="center"/>
        <w:tblLayout w:type="fixed"/>
        <w:tblLook w:firstColumn="1" w:firstRow="1" w:lastColumn="0" w:lastRow="0" w:noHBand="0" w:noVBand="1" w:val="04A0"/>
      </w:tblPr>
      <w:tblGrid>
        <w:gridCol w:w="5159"/>
        <w:gridCol w:w="5159"/>
      </w:tblGrid>
      <w:tr>
        <w:trPr>
          <w:tblHeader w:val="true"/>
        </w:trPr>
        <w:tc>
          <w:tcPr>
            <w:tcW w:type="dxa" w:w="2232"/>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Rubrique</w:t>
            </w:r>
          </w:p>
        </w:tc>
        <w:tc>
          <w:tcPr>
            <w:tcW w:type="dxa" w:w="7343"/>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Lecture stratégique</w:t>
            </w:r>
          </w:p>
        </w:tc>
      </w:tr>
      <w:tr>
        <w:tc>
          <w:tcPr>
            <w:tcW w:type="dxa" w:w="2232"/>
            <w:vAlign w:val="top"/>
          </w:tcPr>
          <w:p>
            <w:pPr>
              <w:spacing w:after="0" w:line="240" w:lineRule="auto"/>
            </w:pPr>
            <w:r>
              <w:rPr>
                <w:rFonts w:ascii="Liberation Sans" w:hAnsi="Liberation Sans"/>
                <w:sz w:val="16"/>
              </w:rPr>
            </w:r>
            <w:r>
              <w:rPr>
                <w:rFonts w:ascii="Liberation Sans" w:hAnsi="Liberation Sans"/>
                <w:b w:val="0"/>
                <w:sz w:val="16"/>
              </w:rPr>
              <w:t>Pourquoi le compte est prioritaire</w:t>
            </w:r>
          </w:p>
        </w:tc>
        <w:tc>
          <w:tcPr>
            <w:tcW w:type="dxa" w:w="7343"/>
            <w:vAlign w:val="top"/>
          </w:tcPr>
          <w:p>
            <w:pPr>
              <w:spacing w:after="0" w:line="240" w:lineRule="auto"/>
            </w:pPr>
            <w:r>
              <w:rPr>
                <w:rFonts w:ascii="Liberation Sans" w:hAnsi="Liberation Sans"/>
                <w:sz w:val="16"/>
              </w:rPr>
            </w:r>
            <w:r>
              <w:rPr>
                <w:rFonts w:ascii="Liberation Sans" w:hAnsi="Liberation Sans"/>
                <w:b w:val="0"/>
                <w:sz w:val="16"/>
              </w:rPr>
              <w:t>Taille mondiale, dépenses élevées, transformation digitale et IA, croissance externe, intégration logistique, pression de performance et de résilience supply chain.</w:t>
            </w:r>
          </w:p>
        </w:tc>
      </w:tr>
      <w:tr>
        <w:tc>
          <w:tcPr>
            <w:tcW w:type="dxa" w:w="2232"/>
            <w:vAlign w:val="top"/>
            <w:shd w:fill="F2F6FA"/>
          </w:tcPr>
          <w:p>
            <w:pPr>
              <w:spacing w:after="0" w:line="240" w:lineRule="auto"/>
            </w:pPr>
            <w:r>
              <w:rPr>
                <w:rFonts w:ascii="Liberation Sans" w:hAnsi="Liberation Sans"/>
                <w:sz w:val="16"/>
              </w:rPr>
            </w:r>
            <w:r>
              <w:rPr>
                <w:rFonts w:ascii="Liberation Sans" w:hAnsi="Liberation Sans"/>
                <w:b w:val="0"/>
                <w:sz w:val="16"/>
              </w:rPr>
              <w:t>Centre de gravité</w:t>
            </w:r>
          </w:p>
        </w:tc>
        <w:tc>
          <w:tcPr>
            <w:tcW w:type="dxa" w:w="7343"/>
            <w:vAlign w:val="top"/>
            <w:shd w:fill="F2F6FA"/>
          </w:tcPr>
          <w:p>
            <w:pPr>
              <w:spacing w:after="0" w:line="240" w:lineRule="auto"/>
            </w:pPr>
            <w:r>
              <w:rPr>
                <w:rFonts w:ascii="Liberation Sans" w:hAnsi="Liberation Sans"/>
                <w:sz w:val="16"/>
              </w:rPr>
            </w:r>
            <w:r>
              <w:rPr>
                <w:rFonts w:ascii="Liberation Sans" w:hAnsi="Liberation Sans"/>
                <w:b w:val="0"/>
                <w:sz w:val="16"/>
              </w:rPr>
              <w:t>Marseille : siège social, présidence, fonctions corporate, IT stratégique, achats groupe et directions transverses.</w:t>
            </w:r>
          </w:p>
        </w:tc>
      </w:tr>
      <w:tr>
        <w:tc>
          <w:tcPr>
            <w:tcW w:type="dxa" w:w="2232"/>
            <w:vAlign w:val="top"/>
          </w:tcPr>
          <w:p>
            <w:pPr>
              <w:spacing w:after="0" w:line="240" w:lineRule="auto"/>
            </w:pPr>
            <w:r>
              <w:rPr>
                <w:rFonts w:ascii="Liberation Sans" w:hAnsi="Liberation Sans"/>
                <w:sz w:val="16"/>
              </w:rPr>
            </w:r>
            <w:r>
              <w:rPr>
                <w:rFonts w:ascii="Liberation Sans" w:hAnsi="Liberation Sans"/>
                <w:b w:val="0"/>
                <w:sz w:val="16"/>
              </w:rPr>
              <w:t>Sites commerciaux français</w:t>
            </w:r>
          </w:p>
        </w:tc>
        <w:tc>
          <w:tcPr>
            <w:tcW w:type="dxa" w:w="7343"/>
            <w:vAlign w:val="top"/>
          </w:tcPr>
          <w:p>
            <w:pPr>
              <w:spacing w:after="0" w:line="240" w:lineRule="auto"/>
            </w:pPr>
            <w:r>
              <w:rPr>
                <w:rFonts w:ascii="Liberation Sans" w:hAnsi="Liberation Sans"/>
                <w:sz w:val="16"/>
              </w:rPr>
            </w:r>
            <w:r>
              <w:rPr>
                <w:rFonts w:ascii="Liberation Sans" w:hAnsi="Liberation Sans"/>
                <w:b w:val="0"/>
                <w:sz w:val="16"/>
              </w:rPr>
              <w:t>Le Havre, Marseille, Dunkerque, Montoir-de-Bretagne, Courbevoie / Paris-La Défense ; Norfolk pour l'Amérique du Nord.</w:t>
            </w:r>
          </w:p>
        </w:tc>
      </w:tr>
      <w:tr>
        <w:tc>
          <w:tcPr>
            <w:tcW w:type="dxa" w:w="2232"/>
            <w:vAlign w:val="top"/>
            <w:shd w:fill="F2F6FA"/>
          </w:tcPr>
          <w:p>
            <w:pPr>
              <w:spacing w:after="0" w:line="240" w:lineRule="auto"/>
            </w:pPr>
            <w:r>
              <w:rPr>
                <w:rFonts w:ascii="Liberation Sans" w:hAnsi="Liberation Sans"/>
                <w:sz w:val="16"/>
              </w:rPr>
            </w:r>
            <w:r>
              <w:rPr>
                <w:rFonts w:ascii="Liberation Sans" w:hAnsi="Liberation Sans"/>
                <w:b w:val="0"/>
                <w:sz w:val="16"/>
              </w:rPr>
              <w:t>Décideurs publics à suivre</w:t>
            </w:r>
          </w:p>
        </w:tc>
        <w:tc>
          <w:tcPr>
            <w:tcW w:type="dxa" w:w="7343"/>
            <w:vAlign w:val="top"/>
            <w:shd w:fill="F2F6FA"/>
          </w:tcPr>
          <w:p>
            <w:pPr>
              <w:spacing w:after="0" w:line="240" w:lineRule="auto"/>
            </w:pPr>
            <w:r>
              <w:rPr>
                <w:rFonts w:ascii="Liberation Sans" w:hAnsi="Liberation Sans"/>
                <w:sz w:val="16"/>
              </w:rPr>
            </w:r>
            <w:r>
              <w:rPr>
                <w:rFonts w:ascii="Liberation Sans" w:hAnsi="Liberation Sans"/>
                <w:b w:val="0"/>
                <w:sz w:val="16"/>
              </w:rPr>
              <w:t>Rodolphe Saadé, Marlène Dolveck, Louis Schmidtlin, Marina Le Badezet, Bob Basila, Tanya Saadé Zeenny, Ramon Fernandez, Nadine Jaudet.</w:t>
            </w:r>
          </w:p>
        </w:tc>
      </w:tr>
      <w:tr>
        <w:tc>
          <w:tcPr>
            <w:tcW w:type="dxa" w:w="2232"/>
            <w:vAlign w:val="top"/>
          </w:tcPr>
          <w:p>
            <w:pPr>
              <w:spacing w:after="0" w:line="240" w:lineRule="auto"/>
            </w:pPr>
            <w:r>
              <w:rPr>
                <w:rFonts w:ascii="Liberation Sans" w:hAnsi="Liberation Sans"/>
                <w:sz w:val="16"/>
              </w:rPr>
            </w:r>
            <w:r>
              <w:rPr>
                <w:rFonts w:ascii="Liberation Sans" w:hAnsi="Liberation Sans"/>
                <w:b w:val="0"/>
                <w:sz w:val="16"/>
              </w:rPr>
              <w:t>Approche recommandée</w:t>
            </w:r>
          </w:p>
        </w:tc>
        <w:tc>
          <w:tcPr>
            <w:tcW w:type="dxa" w:w="7343"/>
            <w:vAlign w:val="top"/>
          </w:tcPr>
          <w:p>
            <w:pPr>
              <w:spacing w:after="0" w:line="240" w:lineRule="auto"/>
            </w:pPr>
            <w:r>
              <w:rPr>
                <w:rFonts w:ascii="Liberation Sans" w:hAnsi="Liberation Sans"/>
                <w:sz w:val="16"/>
              </w:rPr>
            </w:r>
            <w:r>
              <w:rPr>
                <w:rFonts w:ascii="Liberation Sans" w:hAnsi="Liberation Sans"/>
                <w:b w:val="0"/>
                <w:sz w:val="16"/>
              </w:rPr>
              <w:t>Entrer par un enjeu métier mesurable : maîtrise des risques fournisseurs, optimisation achats / contrats, gouvernance IA, cyber-résilience, performance documentaire et réduction du coût de non-qualité.</w:t>
            </w:r>
          </w:p>
        </w:tc>
      </w:tr>
    </w:tbl>
    <w:p/>
    <w:p>
      <w:pPr>
        <w:pStyle w:val="Heading1"/>
      </w:pPr>
      <w:r>
        <w:rPr>
          <w:rFonts w:ascii="Liberation Sans" w:hAnsi="Liberation Sans"/>
          <w:color w:val="0B1F3A"/>
          <w:sz w:val="36"/>
        </w:rPr>
        <w:t>1. Contexte, chiffres clés et empreinte du groupe</w:t>
      </w:r>
    </w:p>
    <w:p>
      <w:pPr>
        <w:spacing w:after="100"/>
      </w:pPr>
      <w:r>
        <w:rPr>
          <w:rFonts w:ascii="Liberation Sans" w:hAnsi="Liberation Sans"/>
          <w:sz w:val="19"/>
        </w:rPr>
        <w:t>CMA CGM se présente comme un acteur mondial des solutions maritimes, terrestres, aériennes et logistiques. Les chiffres publics consolidés à retenir pour qualifier le compte sont les suivants : présence dans 160 pays, environ 400 bureaux, 1 000 entrepôts, 160 000 collaborateurs, plus de 650 navires, 420 ports desservis sur 521 ports commerciaux et plus de 250 lignes maritimes. Le chiffre d'affaires 2024 indiqué par le groupe est de 55,5 Md$.</w:t>
      </w:r>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208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Indicateur</w:t>
            </w:r>
          </w:p>
        </w:tc>
        <w:tc>
          <w:tcPr>
            <w:tcW w:type="dxa" w:w="144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Valeur</w:t>
            </w:r>
          </w:p>
        </w:tc>
        <w:tc>
          <w:tcPr>
            <w:tcW w:type="dxa" w:w="5976"/>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Implication commerciale</w:t>
            </w:r>
          </w:p>
        </w:tc>
      </w:tr>
      <w:tr>
        <w:tc>
          <w:tcPr>
            <w:tcW w:type="dxa" w:w="2088"/>
            <w:vAlign w:val="top"/>
          </w:tcPr>
          <w:p>
            <w:pPr>
              <w:spacing w:after="0" w:line="240" w:lineRule="auto"/>
            </w:pPr>
            <w:r>
              <w:rPr>
                <w:rFonts w:ascii="Liberation Sans" w:hAnsi="Liberation Sans"/>
                <w:sz w:val="16"/>
              </w:rPr>
            </w:r>
            <w:r>
              <w:rPr>
                <w:rFonts w:ascii="Liberation Sans" w:hAnsi="Liberation Sans"/>
                <w:b w:val="0"/>
                <w:sz w:val="16"/>
              </w:rPr>
              <w:t>Pays</w:t>
            </w:r>
          </w:p>
        </w:tc>
        <w:tc>
          <w:tcPr>
            <w:tcW w:type="dxa" w:w="1440"/>
            <w:vAlign w:val="top"/>
          </w:tcPr>
          <w:p>
            <w:pPr>
              <w:spacing w:after="0" w:line="240" w:lineRule="auto"/>
            </w:pPr>
            <w:r>
              <w:rPr>
                <w:rFonts w:ascii="Liberation Sans" w:hAnsi="Liberation Sans"/>
                <w:sz w:val="16"/>
              </w:rPr>
            </w:r>
            <w:r>
              <w:rPr>
                <w:rFonts w:ascii="Liberation Sans" w:hAnsi="Liberation Sans"/>
                <w:b w:val="0"/>
                <w:sz w:val="16"/>
              </w:rPr>
              <w:t>160</w:t>
            </w:r>
          </w:p>
        </w:tc>
        <w:tc>
          <w:tcPr>
            <w:tcW w:type="dxa" w:w="5976"/>
            <w:vAlign w:val="top"/>
          </w:tcPr>
          <w:p>
            <w:pPr>
              <w:spacing w:after="0" w:line="240" w:lineRule="auto"/>
            </w:pPr>
            <w:r>
              <w:rPr>
                <w:rFonts w:ascii="Liberation Sans" w:hAnsi="Liberation Sans"/>
                <w:sz w:val="16"/>
              </w:rPr>
            </w:r>
            <w:r>
              <w:rPr>
                <w:rFonts w:ascii="Liberation Sans" w:hAnsi="Liberation Sans"/>
                <w:b w:val="0"/>
                <w:sz w:val="16"/>
              </w:rPr>
              <w:t>Présence commerciale et opérationnelle mondiale</w:t>
            </w:r>
          </w:p>
        </w:tc>
      </w:tr>
      <w:tr>
        <w:tc>
          <w:tcPr>
            <w:tcW w:type="dxa" w:w="2088"/>
            <w:vAlign w:val="top"/>
            <w:shd w:fill="F2F6FA"/>
          </w:tcPr>
          <w:p>
            <w:pPr>
              <w:spacing w:after="0" w:line="240" w:lineRule="auto"/>
            </w:pPr>
            <w:r>
              <w:rPr>
                <w:rFonts w:ascii="Liberation Sans" w:hAnsi="Liberation Sans"/>
                <w:sz w:val="16"/>
              </w:rPr>
            </w:r>
            <w:r>
              <w:rPr>
                <w:rFonts w:ascii="Liberation Sans" w:hAnsi="Liberation Sans"/>
                <w:b w:val="0"/>
                <w:sz w:val="16"/>
              </w:rPr>
              <w:t>Bureaux</w:t>
            </w:r>
          </w:p>
        </w:tc>
        <w:tc>
          <w:tcPr>
            <w:tcW w:type="dxa" w:w="1440"/>
            <w:vAlign w:val="top"/>
            <w:shd w:fill="F2F6FA"/>
          </w:tcPr>
          <w:p>
            <w:pPr>
              <w:spacing w:after="0" w:line="240" w:lineRule="auto"/>
            </w:pPr>
            <w:r>
              <w:rPr>
                <w:rFonts w:ascii="Liberation Sans" w:hAnsi="Liberation Sans"/>
                <w:sz w:val="16"/>
              </w:rPr>
            </w:r>
            <w:r>
              <w:rPr>
                <w:rFonts w:ascii="Liberation Sans" w:hAnsi="Liberation Sans"/>
                <w:b w:val="0"/>
                <w:sz w:val="16"/>
              </w:rPr>
              <w:t>400</w:t>
            </w:r>
          </w:p>
        </w:tc>
        <w:tc>
          <w:tcPr>
            <w:tcW w:type="dxa" w:w="5976"/>
            <w:vAlign w:val="top"/>
            <w:shd w:fill="F2F6FA"/>
          </w:tcPr>
          <w:p>
            <w:pPr>
              <w:spacing w:after="0" w:line="240" w:lineRule="auto"/>
            </w:pPr>
            <w:r>
              <w:rPr>
                <w:rFonts w:ascii="Liberation Sans" w:hAnsi="Liberation Sans"/>
                <w:sz w:val="16"/>
              </w:rPr>
            </w:r>
            <w:r>
              <w:rPr>
                <w:rFonts w:ascii="Liberation Sans" w:hAnsi="Liberation Sans"/>
                <w:b w:val="0"/>
                <w:sz w:val="16"/>
              </w:rPr>
              <w:t>Réseau local de vente, customer service, agences et fonctions support</w:t>
            </w:r>
          </w:p>
        </w:tc>
      </w:tr>
      <w:tr>
        <w:tc>
          <w:tcPr>
            <w:tcW w:type="dxa" w:w="2088"/>
            <w:vAlign w:val="top"/>
          </w:tcPr>
          <w:p>
            <w:pPr>
              <w:spacing w:after="0" w:line="240" w:lineRule="auto"/>
            </w:pPr>
            <w:r>
              <w:rPr>
                <w:rFonts w:ascii="Liberation Sans" w:hAnsi="Liberation Sans"/>
                <w:sz w:val="16"/>
              </w:rPr>
            </w:r>
            <w:r>
              <w:rPr>
                <w:rFonts w:ascii="Liberation Sans" w:hAnsi="Liberation Sans"/>
                <w:b w:val="0"/>
                <w:sz w:val="16"/>
              </w:rPr>
              <w:t>Entrepôts</w:t>
            </w:r>
          </w:p>
        </w:tc>
        <w:tc>
          <w:tcPr>
            <w:tcW w:type="dxa" w:w="1440"/>
            <w:vAlign w:val="top"/>
          </w:tcPr>
          <w:p>
            <w:pPr>
              <w:spacing w:after="0" w:line="240" w:lineRule="auto"/>
            </w:pPr>
            <w:r>
              <w:rPr>
                <w:rFonts w:ascii="Liberation Sans" w:hAnsi="Liberation Sans"/>
                <w:sz w:val="16"/>
              </w:rPr>
            </w:r>
            <w:r>
              <w:rPr>
                <w:rFonts w:ascii="Liberation Sans" w:hAnsi="Liberation Sans"/>
                <w:b w:val="0"/>
                <w:sz w:val="16"/>
              </w:rPr>
              <w:t>1 000</w:t>
            </w:r>
          </w:p>
        </w:tc>
        <w:tc>
          <w:tcPr>
            <w:tcW w:type="dxa" w:w="5976"/>
            <w:vAlign w:val="top"/>
          </w:tcPr>
          <w:p>
            <w:pPr>
              <w:spacing w:after="0" w:line="240" w:lineRule="auto"/>
            </w:pPr>
            <w:r>
              <w:rPr>
                <w:rFonts w:ascii="Liberation Sans" w:hAnsi="Liberation Sans"/>
                <w:sz w:val="16"/>
              </w:rPr>
            </w:r>
            <w:r>
              <w:rPr>
                <w:rFonts w:ascii="Liberation Sans" w:hAnsi="Liberation Sans"/>
                <w:b w:val="0"/>
                <w:sz w:val="16"/>
              </w:rPr>
              <w:t>Empreinte logistique fortement liée à CEVA Logistics</w:t>
            </w:r>
          </w:p>
        </w:tc>
      </w:tr>
      <w:tr>
        <w:tc>
          <w:tcPr>
            <w:tcW w:type="dxa" w:w="2088"/>
            <w:vAlign w:val="top"/>
            <w:shd w:fill="F2F6FA"/>
          </w:tcPr>
          <w:p>
            <w:pPr>
              <w:spacing w:after="0" w:line="240" w:lineRule="auto"/>
            </w:pPr>
            <w:r>
              <w:rPr>
                <w:rFonts w:ascii="Liberation Sans" w:hAnsi="Liberation Sans"/>
                <w:sz w:val="16"/>
              </w:rPr>
            </w:r>
            <w:r>
              <w:rPr>
                <w:rFonts w:ascii="Liberation Sans" w:hAnsi="Liberation Sans"/>
                <w:b w:val="0"/>
                <w:sz w:val="16"/>
              </w:rPr>
              <w:t>Collaborateurs</w:t>
            </w:r>
          </w:p>
        </w:tc>
        <w:tc>
          <w:tcPr>
            <w:tcW w:type="dxa" w:w="1440"/>
            <w:vAlign w:val="top"/>
            <w:shd w:fill="F2F6FA"/>
          </w:tcPr>
          <w:p>
            <w:pPr>
              <w:spacing w:after="0" w:line="240" w:lineRule="auto"/>
            </w:pPr>
            <w:r>
              <w:rPr>
                <w:rFonts w:ascii="Liberation Sans" w:hAnsi="Liberation Sans"/>
                <w:sz w:val="16"/>
              </w:rPr>
            </w:r>
            <w:r>
              <w:rPr>
                <w:rFonts w:ascii="Liberation Sans" w:hAnsi="Liberation Sans"/>
                <w:b w:val="0"/>
                <w:sz w:val="16"/>
              </w:rPr>
              <w:t>160 000</w:t>
            </w:r>
          </w:p>
        </w:tc>
        <w:tc>
          <w:tcPr>
            <w:tcW w:type="dxa" w:w="5976"/>
            <w:vAlign w:val="top"/>
            <w:shd w:fill="F2F6FA"/>
          </w:tcPr>
          <w:p>
            <w:pPr>
              <w:spacing w:after="0" w:line="240" w:lineRule="auto"/>
            </w:pPr>
            <w:r>
              <w:rPr>
                <w:rFonts w:ascii="Liberation Sans" w:hAnsi="Liberation Sans"/>
                <w:sz w:val="16"/>
              </w:rPr>
            </w:r>
            <w:r>
              <w:rPr>
                <w:rFonts w:ascii="Liberation Sans" w:hAnsi="Liberation Sans"/>
                <w:b w:val="0"/>
                <w:sz w:val="16"/>
              </w:rPr>
              <w:t>Organisation matricielle et multiculturelle</w:t>
            </w:r>
          </w:p>
        </w:tc>
      </w:tr>
      <w:tr>
        <w:tc>
          <w:tcPr>
            <w:tcW w:type="dxa" w:w="2088"/>
            <w:vAlign w:val="top"/>
          </w:tcPr>
          <w:p>
            <w:pPr>
              <w:spacing w:after="0" w:line="240" w:lineRule="auto"/>
            </w:pPr>
            <w:r>
              <w:rPr>
                <w:rFonts w:ascii="Liberation Sans" w:hAnsi="Liberation Sans"/>
                <w:sz w:val="16"/>
              </w:rPr>
            </w:r>
            <w:r>
              <w:rPr>
                <w:rFonts w:ascii="Liberation Sans" w:hAnsi="Liberation Sans"/>
                <w:b w:val="0"/>
                <w:sz w:val="16"/>
              </w:rPr>
              <w:t>Navires</w:t>
            </w:r>
          </w:p>
        </w:tc>
        <w:tc>
          <w:tcPr>
            <w:tcW w:type="dxa" w:w="1440"/>
            <w:vAlign w:val="top"/>
          </w:tcPr>
          <w:p>
            <w:pPr>
              <w:spacing w:after="0" w:line="240" w:lineRule="auto"/>
            </w:pPr>
            <w:r>
              <w:rPr>
                <w:rFonts w:ascii="Liberation Sans" w:hAnsi="Liberation Sans"/>
                <w:sz w:val="16"/>
              </w:rPr>
            </w:r>
            <w:r>
              <w:rPr>
                <w:rFonts w:ascii="Liberation Sans" w:hAnsi="Liberation Sans"/>
                <w:b w:val="0"/>
                <w:sz w:val="16"/>
              </w:rPr>
              <w:t>&gt;650</w:t>
            </w:r>
          </w:p>
        </w:tc>
        <w:tc>
          <w:tcPr>
            <w:tcW w:type="dxa" w:w="5976"/>
            <w:vAlign w:val="top"/>
          </w:tcPr>
          <w:p>
            <w:pPr>
              <w:spacing w:after="0" w:line="240" w:lineRule="auto"/>
            </w:pPr>
            <w:r>
              <w:rPr>
                <w:rFonts w:ascii="Liberation Sans" w:hAnsi="Liberation Sans"/>
                <w:sz w:val="16"/>
              </w:rPr>
            </w:r>
            <w:r>
              <w:rPr>
                <w:rFonts w:ascii="Liberation Sans" w:hAnsi="Liberation Sans"/>
                <w:b w:val="0"/>
                <w:sz w:val="16"/>
              </w:rPr>
              <w:t>Capacité maritime et complexité d'exploitation</w:t>
            </w:r>
          </w:p>
        </w:tc>
      </w:tr>
      <w:tr>
        <w:tc>
          <w:tcPr>
            <w:tcW w:type="dxa" w:w="2088"/>
            <w:vAlign w:val="top"/>
            <w:shd w:fill="F2F6FA"/>
          </w:tcPr>
          <w:p>
            <w:pPr>
              <w:spacing w:after="0" w:line="240" w:lineRule="auto"/>
            </w:pPr>
            <w:r>
              <w:rPr>
                <w:rFonts w:ascii="Liberation Sans" w:hAnsi="Liberation Sans"/>
                <w:sz w:val="16"/>
              </w:rPr>
            </w:r>
            <w:r>
              <w:rPr>
                <w:rFonts w:ascii="Liberation Sans" w:hAnsi="Liberation Sans"/>
                <w:b w:val="0"/>
                <w:sz w:val="16"/>
              </w:rPr>
              <w:t>Ports desservis</w:t>
            </w:r>
          </w:p>
        </w:tc>
        <w:tc>
          <w:tcPr>
            <w:tcW w:type="dxa" w:w="1440"/>
            <w:vAlign w:val="top"/>
            <w:shd w:fill="F2F6FA"/>
          </w:tcPr>
          <w:p>
            <w:pPr>
              <w:spacing w:after="0" w:line="240" w:lineRule="auto"/>
            </w:pPr>
            <w:r>
              <w:rPr>
                <w:rFonts w:ascii="Liberation Sans" w:hAnsi="Liberation Sans"/>
                <w:sz w:val="16"/>
              </w:rPr>
            </w:r>
            <w:r>
              <w:rPr>
                <w:rFonts w:ascii="Liberation Sans" w:hAnsi="Liberation Sans"/>
                <w:b w:val="0"/>
                <w:sz w:val="16"/>
              </w:rPr>
              <w:t>420 / 521</w:t>
            </w:r>
          </w:p>
        </w:tc>
        <w:tc>
          <w:tcPr>
            <w:tcW w:type="dxa" w:w="5976"/>
            <w:vAlign w:val="top"/>
            <w:shd w:fill="F2F6FA"/>
          </w:tcPr>
          <w:p>
            <w:pPr>
              <w:spacing w:after="0" w:line="240" w:lineRule="auto"/>
            </w:pPr>
            <w:r>
              <w:rPr>
                <w:rFonts w:ascii="Liberation Sans" w:hAnsi="Liberation Sans"/>
                <w:sz w:val="16"/>
              </w:rPr>
            </w:r>
            <w:r>
              <w:rPr>
                <w:rFonts w:ascii="Liberation Sans" w:hAnsi="Liberation Sans"/>
                <w:b w:val="0"/>
                <w:sz w:val="16"/>
              </w:rPr>
              <w:t>Capillarité maritime et dépendance aux terminaux / hinterland</w:t>
            </w:r>
          </w:p>
        </w:tc>
      </w:tr>
      <w:tr>
        <w:tc>
          <w:tcPr>
            <w:tcW w:type="dxa" w:w="2088"/>
            <w:vAlign w:val="top"/>
          </w:tcPr>
          <w:p>
            <w:pPr>
              <w:spacing w:after="0" w:line="240" w:lineRule="auto"/>
            </w:pPr>
            <w:r>
              <w:rPr>
                <w:rFonts w:ascii="Liberation Sans" w:hAnsi="Liberation Sans"/>
                <w:sz w:val="16"/>
              </w:rPr>
            </w:r>
            <w:r>
              <w:rPr>
                <w:rFonts w:ascii="Liberation Sans" w:hAnsi="Liberation Sans"/>
                <w:b w:val="0"/>
                <w:sz w:val="16"/>
              </w:rPr>
              <w:t>Lignes maritimes</w:t>
            </w:r>
          </w:p>
        </w:tc>
        <w:tc>
          <w:tcPr>
            <w:tcW w:type="dxa" w:w="1440"/>
            <w:vAlign w:val="top"/>
          </w:tcPr>
          <w:p>
            <w:pPr>
              <w:spacing w:after="0" w:line="240" w:lineRule="auto"/>
            </w:pPr>
            <w:r>
              <w:rPr>
                <w:rFonts w:ascii="Liberation Sans" w:hAnsi="Liberation Sans"/>
                <w:sz w:val="16"/>
              </w:rPr>
            </w:r>
            <w:r>
              <w:rPr>
                <w:rFonts w:ascii="Liberation Sans" w:hAnsi="Liberation Sans"/>
                <w:b w:val="0"/>
                <w:sz w:val="16"/>
              </w:rPr>
              <w:t>&gt;250</w:t>
            </w:r>
          </w:p>
        </w:tc>
        <w:tc>
          <w:tcPr>
            <w:tcW w:type="dxa" w:w="5976"/>
            <w:vAlign w:val="top"/>
          </w:tcPr>
          <w:p>
            <w:pPr>
              <w:spacing w:after="0" w:line="240" w:lineRule="auto"/>
            </w:pPr>
            <w:r>
              <w:rPr>
                <w:rFonts w:ascii="Liberation Sans" w:hAnsi="Liberation Sans"/>
                <w:sz w:val="16"/>
              </w:rPr>
            </w:r>
            <w:r>
              <w:rPr>
                <w:rFonts w:ascii="Liberation Sans" w:hAnsi="Liberation Sans"/>
                <w:b w:val="0"/>
                <w:sz w:val="16"/>
              </w:rPr>
              <w:t>Réseau multi-trades très étendu</w:t>
            </w:r>
          </w:p>
        </w:tc>
      </w:tr>
      <w:tr>
        <w:tc>
          <w:tcPr>
            <w:tcW w:type="dxa" w:w="2088"/>
            <w:vAlign w:val="top"/>
            <w:shd w:fill="F2F6FA"/>
          </w:tcPr>
          <w:p>
            <w:pPr>
              <w:spacing w:after="0" w:line="240" w:lineRule="auto"/>
            </w:pPr>
            <w:r>
              <w:rPr>
                <w:rFonts w:ascii="Liberation Sans" w:hAnsi="Liberation Sans"/>
                <w:sz w:val="16"/>
              </w:rPr>
            </w:r>
            <w:r>
              <w:rPr>
                <w:rFonts w:ascii="Liberation Sans" w:hAnsi="Liberation Sans"/>
                <w:b w:val="0"/>
                <w:sz w:val="16"/>
              </w:rPr>
              <w:t>CA 2024</w:t>
            </w:r>
          </w:p>
        </w:tc>
        <w:tc>
          <w:tcPr>
            <w:tcW w:type="dxa" w:w="1440"/>
            <w:vAlign w:val="top"/>
            <w:shd w:fill="F2F6FA"/>
          </w:tcPr>
          <w:p>
            <w:pPr>
              <w:spacing w:after="0" w:line="240" w:lineRule="auto"/>
            </w:pPr>
            <w:r>
              <w:rPr>
                <w:rFonts w:ascii="Liberation Sans" w:hAnsi="Liberation Sans"/>
                <w:sz w:val="16"/>
              </w:rPr>
            </w:r>
            <w:r>
              <w:rPr>
                <w:rFonts w:ascii="Liberation Sans" w:hAnsi="Liberation Sans"/>
                <w:b w:val="0"/>
                <w:sz w:val="16"/>
              </w:rPr>
              <w:t>55,5 Md$</w:t>
            </w:r>
          </w:p>
        </w:tc>
        <w:tc>
          <w:tcPr>
            <w:tcW w:type="dxa" w:w="5976"/>
            <w:vAlign w:val="top"/>
            <w:shd w:fill="F2F6FA"/>
          </w:tcPr>
          <w:p>
            <w:pPr>
              <w:spacing w:after="0" w:line="240" w:lineRule="auto"/>
            </w:pPr>
            <w:r>
              <w:rPr>
                <w:rFonts w:ascii="Liberation Sans" w:hAnsi="Liberation Sans"/>
                <w:sz w:val="16"/>
              </w:rPr>
            </w:r>
            <w:r>
              <w:rPr>
                <w:rFonts w:ascii="Liberation Sans" w:hAnsi="Liberation Sans"/>
                <w:b w:val="0"/>
                <w:sz w:val="16"/>
              </w:rPr>
              <w:t>Base de qualification financière du compte</w:t>
            </w:r>
          </w:p>
        </w:tc>
      </w:tr>
    </w:tbl>
    <w:p/>
    <w:p>
      <w:pPr>
        <w:pStyle w:val="Heading2"/>
      </w:pPr>
      <w:r>
        <w:rPr>
          <w:rFonts w:ascii="Liberation Sans" w:hAnsi="Liberation Sans"/>
          <w:color w:val="1F4E79"/>
          <w:sz w:val="28"/>
        </w:rPr>
        <w:t>1.1 Identité juridique et gouvernance</w:t>
      </w:r>
    </w:p>
    <w:p>
      <w:pPr>
        <w:spacing w:after="100"/>
      </w:pPr>
      <w:r>
        <w:rPr>
          <w:rFonts w:ascii="Liberation Sans" w:hAnsi="Liberation Sans"/>
          <w:sz w:val="19"/>
        </w:rPr>
        <w:t>CMA CGM S.A. est une société anonyme immatriculée au RCS de Marseille sous le SIREN 562 024 422 ; son siège social est situé Boulevard Jacques Saadé, 4 quai d'Arenc, 13235 Marseille Cedex 02. Le Conseil d'administration est présidé par Rodolphe Saadé et compte 14 administrateurs, incluant des membres de la famille Saadé et des actionnaires représentant Yildirim Group et Bpifrance selon la page gouvernance du groupe.</w:t>
      </w:r>
    </w:p>
    <w:tbl>
      <w:tblPr>
        <w:tblW w:type="auto" w:w="0"/>
        <w:jc w:val="center"/>
        <w:tblLayout w:type="fixed"/>
        <w:tblLook w:firstColumn="1" w:firstRow="1" w:lastColumn="0" w:lastRow="0" w:noHBand="0" w:noVBand="1" w:val="04A0"/>
      </w:tblPr>
      <w:tblGrid>
        <w:gridCol w:w="10318"/>
      </w:tblGrid>
      <w:tr>
        <w:tc>
          <w:tcPr>
            <w:tcW w:type="dxa" w:w="9576"/>
            <w:shd w:fill="E2F0D9"/>
          </w:tcPr>
          <w:p>
            <w:pPr>
              <w:spacing w:after="40"/>
            </w:pPr>
            <w:r>
              <w:rPr>
                <w:rFonts w:ascii="Liberation Sans" w:hAnsi="Liberation Sans"/>
                <w:b/>
                <w:color w:val="0B1F3A"/>
                <w:sz w:val="19"/>
              </w:rPr>
              <w:t>Lecture compte</w:t>
            </w:r>
          </w:p>
          <w:p>
            <w:pPr>
              <w:spacing w:after="0"/>
            </w:pPr>
            <w:r>
              <w:rPr>
                <w:rFonts w:ascii="Liberation Sans" w:hAnsi="Liberation Sans"/>
                <w:sz w:val="17"/>
              </w:rPr>
              <w:t>La gouvernance est très verticale : les sujets stratégiques, réputationnels, technologiques, financiers ou sensibles doivent être portés au bon niveau corporate. En revanche, les sujets d'exécution peuvent se gagner par business unit : shipping, logistics / CEVA, terminals, air cargo, finance, procurement, IT.</w:t>
            </w:r>
          </w:p>
        </w:tc>
      </w:tr>
    </w:tbl>
    <w:p/>
    <w:p>
      <w:pPr>
        <w:pStyle w:val="Heading2"/>
      </w:pPr>
      <w:r>
        <w:rPr>
          <w:rFonts w:ascii="Liberation Sans" w:hAnsi="Liberation Sans"/>
          <w:color w:val="1F4E79"/>
          <w:sz w:val="28"/>
        </w:rPr>
        <w:t>1.2 Résultats et trajectoire 2025</w:t>
      </w:r>
    </w:p>
    <w:p>
      <w:pPr>
        <w:spacing w:after="100"/>
      </w:pPr>
      <w:r>
        <w:rPr>
          <w:rFonts w:ascii="Liberation Sans" w:hAnsi="Liberation Sans"/>
          <w:sz w:val="19"/>
        </w:rPr>
        <w:t>Pour 2025, le groupe indique avoir livré des résultats solides dans un environnement économique et géopolitique incertain, tout en poursuivant ses priorités stratégiques : acquisition de Santos Brasil, création de United Ports et renforcement logistique avec Borusan Lojistik et Fagioli. Les articles spécialisés reprenant les résultats 2025 font état d'un chiffre d'affaires de 54,4 Md$, d'un EBITDA de 10,6 Md$ et d'une marge EBITDA de 19,4 %.</w:t>
      </w:r>
    </w:p>
    <w:tbl>
      <w:tblPr>
        <w:tblStyle w:val="TableGrid"/>
        <w:tblW w:type="auto" w:w="0"/>
        <w:jc w:val="center"/>
        <w:tblLayout w:type="fixed"/>
        <w:tblLook w:firstColumn="1" w:firstRow="1" w:lastColumn="0" w:lastRow="0" w:noHBand="0" w:noVBand="1" w:val="04A0"/>
      </w:tblPr>
      <w:tblGrid>
        <w:gridCol w:w="2579"/>
        <w:gridCol w:w="2579"/>
        <w:gridCol w:w="2579"/>
        <w:gridCol w:w="2579"/>
      </w:tblGrid>
      <w:tr>
        <w:trPr>
          <w:tblHeader w:val="true"/>
        </w:trPr>
        <w:tc>
          <w:tcPr>
            <w:tcW w:type="dxa" w:w="1152"/>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Année</w:t>
            </w:r>
          </w:p>
        </w:tc>
        <w:tc>
          <w:tcPr>
            <w:tcW w:type="dxa" w:w="1728"/>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Indicateur</w:t>
            </w:r>
          </w:p>
        </w:tc>
        <w:tc>
          <w:tcPr>
            <w:tcW w:type="dxa" w:w="3024"/>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Source / statut</w:t>
            </w:r>
          </w:p>
        </w:tc>
        <w:tc>
          <w:tcPr>
            <w:tcW w:type="dxa" w:w="360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Lecture</w:t>
            </w:r>
          </w:p>
        </w:tc>
      </w:tr>
      <w:tr>
        <w:tc>
          <w:tcPr>
            <w:tcW w:type="dxa" w:w="1152"/>
            <w:vAlign w:val="top"/>
          </w:tcPr>
          <w:p>
            <w:pPr>
              <w:spacing w:after="0" w:line="240" w:lineRule="auto"/>
            </w:pPr>
            <w:r>
              <w:rPr>
                <w:rFonts w:ascii="Liberation Sans" w:hAnsi="Liberation Sans"/>
                <w:sz w:val="16"/>
              </w:rPr>
            </w:r>
            <w:r>
              <w:rPr>
                <w:rFonts w:ascii="Liberation Sans" w:hAnsi="Liberation Sans"/>
                <w:b w:val="0"/>
                <w:sz w:val="16"/>
              </w:rPr>
              <w:t>2024</w:t>
            </w:r>
          </w:p>
        </w:tc>
        <w:tc>
          <w:tcPr>
            <w:tcW w:type="dxa" w:w="1728"/>
            <w:vAlign w:val="top"/>
          </w:tcPr>
          <w:p>
            <w:pPr>
              <w:spacing w:after="0" w:line="240" w:lineRule="auto"/>
            </w:pPr>
            <w:r>
              <w:rPr>
                <w:rFonts w:ascii="Liberation Sans" w:hAnsi="Liberation Sans"/>
                <w:sz w:val="16"/>
              </w:rPr>
            </w:r>
            <w:r>
              <w:rPr>
                <w:rFonts w:ascii="Liberation Sans" w:hAnsi="Liberation Sans"/>
                <w:b w:val="0"/>
                <w:sz w:val="16"/>
              </w:rPr>
              <w:t>55,5 Md$</w:t>
            </w:r>
          </w:p>
        </w:tc>
        <w:tc>
          <w:tcPr>
            <w:tcW w:type="dxa" w:w="3024"/>
            <w:vAlign w:val="top"/>
          </w:tcPr>
          <w:p>
            <w:pPr>
              <w:spacing w:after="0" w:line="240" w:lineRule="auto"/>
            </w:pPr>
            <w:r>
              <w:rPr>
                <w:rFonts w:ascii="Liberation Sans" w:hAnsi="Liberation Sans"/>
                <w:sz w:val="16"/>
              </w:rPr>
            </w:r>
            <w:r>
              <w:rPr>
                <w:rFonts w:ascii="Liberation Sans" w:hAnsi="Liberation Sans"/>
                <w:b w:val="0"/>
                <w:sz w:val="16"/>
              </w:rPr>
              <w:t>CA officiel publié par le groupe</w:t>
            </w:r>
          </w:p>
        </w:tc>
        <w:tc>
          <w:tcPr>
            <w:tcW w:type="dxa" w:w="3600"/>
            <w:vAlign w:val="top"/>
          </w:tcPr>
          <w:p>
            <w:pPr>
              <w:spacing w:after="0" w:line="240" w:lineRule="auto"/>
            </w:pPr>
            <w:r>
              <w:rPr>
                <w:rFonts w:ascii="Liberation Sans" w:hAnsi="Liberation Sans"/>
                <w:sz w:val="16"/>
              </w:rPr>
            </w:r>
            <w:r>
              <w:rPr>
                <w:rFonts w:ascii="Liberation Sans" w:hAnsi="Liberation Sans"/>
                <w:b w:val="0"/>
                <w:sz w:val="16"/>
              </w:rPr>
              <w:t>Année de référence élevée, portée par shipping + logistique</w:t>
            </w:r>
          </w:p>
        </w:tc>
      </w:tr>
      <w:tr>
        <w:tc>
          <w:tcPr>
            <w:tcW w:type="dxa" w:w="1152"/>
            <w:vAlign w:val="top"/>
            <w:shd w:fill="F2F6FA"/>
          </w:tcPr>
          <w:p>
            <w:pPr>
              <w:spacing w:after="0" w:line="240" w:lineRule="auto"/>
            </w:pPr>
            <w:r>
              <w:rPr>
                <w:rFonts w:ascii="Liberation Sans" w:hAnsi="Liberation Sans"/>
                <w:sz w:val="16"/>
              </w:rPr>
            </w:r>
            <w:r>
              <w:rPr>
                <w:rFonts w:ascii="Liberation Sans" w:hAnsi="Liberation Sans"/>
                <w:b w:val="0"/>
                <w:sz w:val="16"/>
              </w:rPr>
              <w:t>2025</w:t>
            </w:r>
          </w:p>
        </w:tc>
        <w:tc>
          <w:tcPr>
            <w:tcW w:type="dxa" w:w="1728"/>
            <w:vAlign w:val="top"/>
            <w:shd w:fill="F2F6FA"/>
          </w:tcPr>
          <w:p>
            <w:pPr>
              <w:spacing w:after="0" w:line="240" w:lineRule="auto"/>
            </w:pPr>
            <w:r>
              <w:rPr>
                <w:rFonts w:ascii="Liberation Sans" w:hAnsi="Liberation Sans"/>
                <w:sz w:val="16"/>
              </w:rPr>
            </w:r>
            <w:r>
              <w:rPr>
                <w:rFonts w:ascii="Liberation Sans" w:hAnsi="Liberation Sans"/>
                <w:b w:val="0"/>
                <w:sz w:val="16"/>
              </w:rPr>
              <w:t>54,4 Md$</w:t>
            </w:r>
          </w:p>
        </w:tc>
        <w:tc>
          <w:tcPr>
            <w:tcW w:type="dxa" w:w="3024"/>
            <w:vAlign w:val="top"/>
            <w:shd w:fill="F2F6FA"/>
          </w:tcPr>
          <w:p>
            <w:pPr>
              <w:spacing w:after="0" w:line="240" w:lineRule="auto"/>
            </w:pPr>
            <w:r>
              <w:rPr>
                <w:rFonts w:ascii="Liberation Sans" w:hAnsi="Liberation Sans"/>
                <w:sz w:val="16"/>
              </w:rPr>
            </w:r>
            <w:r>
              <w:rPr>
                <w:rFonts w:ascii="Liberation Sans" w:hAnsi="Liberation Sans"/>
                <w:b w:val="0"/>
                <w:sz w:val="16"/>
              </w:rPr>
              <w:t>CA repris par la presse spécialisée</w:t>
            </w:r>
          </w:p>
        </w:tc>
        <w:tc>
          <w:tcPr>
            <w:tcW w:type="dxa" w:w="3600"/>
            <w:vAlign w:val="top"/>
            <w:shd w:fill="F2F6FA"/>
          </w:tcPr>
          <w:p>
            <w:pPr>
              <w:spacing w:after="0" w:line="240" w:lineRule="auto"/>
            </w:pPr>
            <w:r>
              <w:rPr>
                <w:rFonts w:ascii="Liberation Sans" w:hAnsi="Liberation Sans"/>
                <w:sz w:val="16"/>
              </w:rPr>
            </w:r>
            <w:r>
              <w:rPr>
                <w:rFonts w:ascii="Liberation Sans" w:hAnsi="Liberation Sans"/>
                <w:b w:val="0"/>
                <w:sz w:val="16"/>
              </w:rPr>
              <w:t>Légère baisse, pression sur le freight et normalisation des taux</w:t>
            </w:r>
          </w:p>
        </w:tc>
      </w:tr>
      <w:tr>
        <w:tc>
          <w:tcPr>
            <w:tcW w:type="dxa" w:w="1152"/>
            <w:vAlign w:val="top"/>
          </w:tcPr>
          <w:p>
            <w:pPr>
              <w:spacing w:after="0" w:line="240" w:lineRule="auto"/>
            </w:pPr>
            <w:r>
              <w:rPr>
                <w:rFonts w:ascii="Liberation Sans" w:hAnsi="Liberation Sans"/>
                <w:sz w:val="16"/>
              </w:rPr>
            </w:r>
            <w:r>
              <w:rPr>
                <w:rFonts w:ascii="Liberation Sans" w:hAnsi="Liberation Sans"/>
                <w:b w:val="0"/>
                <w:sz w:val="16"/>
              </w:rPr>
              <w:t>2025</w:t>
            </w:r>
          </w:p>
        </w:tc>
        <w:tc>
          <w:tcPr>
            <w:tcW w:type="dxa" w:w="1728"/>
            <w:vAlign w:val="top"/>
          </w:tcPr>
          <w:p>
            <w:pPr>
              <w:spacing w:after="0" w:line="240" w:lineRule="auto"/>
            </w:pPr>
            <w:r>
              <w:rPr>
                <w:rFonts w:ascii="Liberation Sans" w:hAnsi="Liberation Sans"/>
                <w:sz w:val="16"/>
              </w:rPr>
            </w:r>
            <w:r>
              <w:rPr>
                <w:rFonts w:ascii="Liberation Sans" w:hAnsi="Liberation Sans"/>
                <w:b w:val="0"/>
                <w:sz w:val="16"/>
              </w:rPr>
              <w:t>10,6 Md$</w:t>
            </w:r>
          </w:p>
        </w:tc>
        <w:tc>
          <w:tcPr>
            <w:tcW w:type="dxa" w:w="3024"/>
            <w:vAlign w:val="top"/>
          </w:tcPr>
          <w:p>
            <w:pPr>
              <w:spacing w:after="0" w:line="240" w:lineRule="auto"/>
            </w:pPr>
            <w:r>
              <w:rPr>
                <w:rFonts w:ascii="Liberation Sans" w:hAnsi="Liberation Sans"/>
                <w:sz w:val="16"/>
              </w:rPr>
            </w:r>
            <w:r>
              <w:rPr>
                <w:rFonts w:ascii="Liberation Sans" w:hAnsi="Liberation Sans"/>
                <w:b w:val="0"/>
                <w:sz w:val="16"/>
              </w:rPr>
              <w:t>EBITDA repris par la presse spécialisée</w:t>
            </w:r>
          </w:p>
        </w:tc>
        <w:tc>
          <w:tcPr>
            <w:tcW w:type="dxa" w:w="3600"/>
            <w:vAlign w:val="top"/>
          </w:tcPr>
          <w:p>
            <w:pPr>
              <w:spacing w:after="0" w:line="240" w:lineRule="auto"/>
            </w:pPr>
            <w:r>
              <w:rPr>
                <w:rFonts w:ascii="Liberation Sans" w:hAnsi="Liberation Sans"/>
                <w:sz w:val="16"/>
              </w:rPr>
            </w:r>
            <w:r>
              <w:rPr>
                <w:rFonts w:ascii="Liberation Sans" w:hAnsi="Liberation Sans"/>
                <w:b w:val="0"/>
                <w:sz w:val="16"/>
              </w:rPr>
              <w:t>Capacité d'investissement toujours significative</w:t>
            </w:r>
          </w:p>
        </w:tc>
      </w:tr>
      <w:tr>
        <w:tc>
          <w:tcPr>
            <w:tcW w:type="dxa" w:w="1152"/>
            <w:vAlign w:val="top"/>
            <w:shd w:fill="F2F6FA"/>
          </w:tcPr>
          <w:p>
            <w:pPr>
              <w:spacing w:after="0" w:line="240" w:lineRule="auto"/>
            </w:pPr>
            <w:r>
              <w:rPr>
                <w:rFonts w:ascii="Liberation Sans" w:hAnsi="Liberation Sans"/>
                <w:sz w:val="16"/>
              </w:rPr>
            </w:r>
            <w:r>
              <w:rPr>
                <w:rFonts w:ascii="Liberation Sans" w:hAnsi="Liberation Sans"/>
                <w:b w:val="0"/>
                <w:sz w:val="16"/>
              </w:rPr>
              <w:t>2025</w:t>
            </w:r>
          </w:p>
        </w:tc>
        <w:tc>
          <w:tcPr>
            <w:tcW w:type="dxa" w:w="1728"/>
            <w:vAlign w:val="top"/>
            <w:shd w:fill="F2F6FA"/>
          </w:tcPr>
          <w:p>
            <w:pPr>
              <w:spacing w:after="0" w:line="240" w:lineRule="auto"/>
            </w:pPr>
            <w:r>
              <w:rPr>
                <w:rFonts w:ascii="Liberation Sans" w:hAnsi="Liberation Sans"/>
                <w:sz w:val="16"/>
              </w:rPr>
            </w:r>
            <w:r>
              <w:rPr>
                <w:rFonts w:ascii="Liberation Sans" w:hAnsi="Liberation Sans"/>
                <w:b w:val="0"/>
                <w:sz w:val="16"/>
              </w:rPr>
              <w:t>19,4 %</w:t>
            </w:r>
          </w:p>
        </w:tc>
        <w:tc>
          <w:tcPr>
            <w:tcW w:type="dxa" w:w="3024"/>
            <w:vAlign w:val="top"/>
            <w:shd w:fill="F2F6FA"/>
          </w:tcPr>
          <w:p>
            <w:pPr>
              <w:spacing w:after="0" w:line="240" w:lineRule="auto"/>
            </w:pPr>
            <w:r>
              <w:rPr>
                <w:rFonts w:ascii="Liberation Sans" w:hAnsi="Liberation Sans"/>
                <w:sz w:val="16"/>
              </w:rPr>
            </w:r>
            <w:r>
              <w:rPr>
                <w:rFonts w:ascii="Liberation Sans" w:hAnsi="Liberation Sans"/>
                <w:b w:val="0"/>
                <w:sz w:val="16"/>
              </w:rPr>
              <w:t>Marge EBITDA reprise par la presse spécialisée</w:t>
            </w:r>
          </w:p>
        </w:tc>
        <w:tc>
          <w:tcPr>
            <w:tcW w:type="dxa" w:w="3600"/>
            <w:vAlign w:val="top"/>
            <w:shd w:fill="F2F6FA"/>
          </w:tcPr>
          <w:p>
            <w:pPr>
              <w:spacing w:after="0" w:line="240" w:lineRule="auto"/>
            </w:pPr>
            <w:r>
              <w:rPr>
                <w:rFonts w:ascii="Liberation Sans" w:hAnsi="Liberation Sans"/>
                <w:sz w:val="16"/>
              </w:rPr>
            </w:r>
            <w:r>
              <w:rPr>
                <w:rFonts w:ascii="Liberation Sans" w:hAnsi="Liberation Sans"/>
                <w:b w:val="0"/>
                <w:sz w:val="16"/>
              </w:rPr>
              <w:t>Marge robuste mais sous pression vs 2024</w:t>
            </w:r>
          </w:p>
        </w:tc>
      </w:tr>
    </w:tbl>
    <w:p/>
    <w:p>
      <w:pPr>
        <w:pStyle w:val="Heading1"/>
      </w:pPr>
      <w:r>
        <w:rPr>
          <w:rFonts w:ascii="Liberation Sans" w:hAnsi="Liberation Sans"/>
          <w:color w:val="0B1F3A"/>
          <w:sz w:val="36"/>
        </w:rPr>
        <w:t>2. Enjeux business et stratégie du groupe</w:t>
      </w:r>
    </w:p>
    <w:p>
      <w:pPr>
        <w:spacing w:after="100"/>
      </w:pPr>
      <w:r>
        <w:rPr>
          <w:rFonts w:ascii="Liberation Sans" w:hAnsi="Liberation Sans"/>
          <w:sz w:val="19"/>
        </w:rPr>
        <w:t>La stratégie observable de CMA CGM repose sur cinq axes : intégration verticale mer-terre-air, densification des terminaux portuaires, diversification logistique via CEVA, digitalisation / IA à l'échelle groupe, et décarbonation progressive. Le groupe reste exposé à la volatilité des taux de fret, aux tensions géopolitiques, aux congestions portuaires, aux risques cyber et à la complexité d'intégration issue de ses acquisitions.</w:t>
      </w:r>
    </w:p>
    <w:tbl>
      <w:tblPr>
        <w:tblStyle w:val="TableGrid"/>
        <w:tblW w:type="auto" w:w="0"/>
        <w:jc w:val="center"/>
        <w:tblLayout w:type="fixed"/>
        <w:tblLook w:firstColumn="1" w:firstRow="1" w:lastColumn="0" w:lastRow="0" w:noHBand="0" w:noVBand="1" w:val="04A0"/>
      </w:tblPr>
      <w:tblGrid>
        <w:gridCol w:w="2579"/>
        <w:gridCol w:w="2579"/>
        <w:gridCol w:w="2579"/>
        <w:gridCol w:w="2579"/>
      </w:tblGrid>
      <w:tr>
        <w:trPr>
          <w:tblHeader w:val="true"/>
        </w:trPr>
        <w:tc>
          <w:tcPr>
            <w:tcW w:type="dxa" w:w="64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Axe</w:t>
            </w:r>
          </w:p>
        </w:tc>
        <w:tc>
          <w:tcPr>
            <w:tcW w:type="dxa" w:w="2232"/>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Priorité</w:t>
            </w:r>
          </w:p>
        </w:tc>
        <w:tc>
          <w:tcPr>
            <w:tcW w:type="dxa" w:w="568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Ce que cela signifie</w:t>
            </w:r>
          </w:p>
        </w:tc>
        <w:tc>
          <w:tcPr>
            <w:tcW w:type="dxa" w:w="1152"/>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Impact commercial</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1</w:t>
            </w:r>
          </w:p>
        </w:tc>
        <w:tc>
          <w:tcPr>
            <w:tcW w:type="dxa" w:w="2232"/>
            <w:vAlign w:val="top"/>
          </w:tcPr>
          <w:p>
            <w:pPr>
              <w:spacing w:after="0" w:line="240" w:lineRule="auto"/>
            </w:pPr>
            <w:r>
              <w:rPr>
                <w:rFonts w:ascii="Liberation Sans" w:hAnsi="Liberation Sans"/>
                <w:sz w:val="15"/>
              </w:rPr>
            </w:r>
            <w:r>
              <w:rPr>
                <w:rFonts w:ascii="Liberation Sans" w:hAnsi="Liberation Sans"/>
                <w:b w:val="0"/>
                <w:sz w:val="15"/>
              </w:rPr>
              <w:t>End-to-end logistics</w:t>
            </w:r>
          </w:p>
        </w:tc>
        <w:tc>
          <w:tcPr>
            <w:tcW w:type="dxa" w:w="5688"/>
            <w:vAlign w:val="top"/>
          </w:tcPr>
          <w:p>
            <w:pPr>
              <w:spacing w:after="0" w:line="240" w:lineRule="auto"/>
            </w:pPr>
            <w:r>
              <w:rPr>
                <w:rFonts w:ascii="Liberation Sans" w:hAnsi="Liberation Sans"/>
                <w:sz w:val="15"/>
              </w:rPr>
            </w:r>
            <w:r>
              <w:rPr>
                <w:rFonts w:ascii="Liberation Sans" w:hAnsi="Liberation Sans"/>
                <w:b w:val="0"/>
                <w:sz w:val="15"/>
              </w:rPr>
              <w:t>Transformer CMA CGM d'armateur en orchestrateur global de supply chain : maritime, CEVA, air cargo, inland, warehousing.</w:t>
            </w:r>
          </w:p>
        </w:tc>
        <w:tc>
          <w:tcPr>
            <w:tcW w:type="dxa" w:w="1152"/>
            <w:vAlign w:val="top"/>
          </w:tcPr>
          <w:p>
            <w:pPr>
              <w:spacing w:after="0" w:line="240" w:lineRule="auto"/>
            </w:pPr>
            <w:r>
              <w:rPr>
                <w:rFonts w:ascii="Liberation Sans" w:hAnsi="Liberation Sans"/>
                <w:sz w:val="15"/>
              </w:rPr>
            </w:r>
            <w:r>
              <w:rPr>
                <w:rFonts w:ascii="Liberation Sans" w:hAnsi="Liberation Sans"/>
                <w:b w:val="0"/>
                <w:sz w:val="15"/>
              </w:rPr>
              <w:t>Élevé</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2</w:t>
            </w:r>
          </w:p>
        </w:tc>
        <w:tc>
          <w:tcPr>
            <w:tcW w:type="dxa" w:w="2232"/>
            <w:vAlign w:val="top"/>
            <w:shd w:fill="F2F6FA"/>
          </w:tcPr>
          <w:p>
            <w:pPr>
              <w:spacing w:after="0" w:line="240" w:lineRule="auto"/>
            </w:pPr>
            <w:r>
              <w:rPr>
                <w:rFonts w:ascii="Liberation Sans" w:hAnsi="Liberation Sans"/>
                <w:sz w:val="15"/>
              </w:rPr>
            </w:r>
            <w:r>
              <w:rPr>
                <w:rFonts w:ascii="Liberation Sans" w:hAnsi="Liberation Sans"/>
                <w:b w:val="0"/>
                <w:sz w:val="15"/>
              </w:rPr>
              <w:t>Terminals / ports</w:t>
            </w:r>
          </w:p>
        </w:tc>
        <w:tc>
          <w:tcPr>
            <w:tcW w:type="dxa" w:w="5688"/>
            <w:vAlign w:val="top"/>
            <w:shd w:fill="F2F6FA"/>
          </w:tcPr>
          <w:p>
            <w:pPr>
              <w:spacing w:after="0" w:line="240" w:lineRule="auto"/>
            </w:pPr>
            <w:r>
              <w:rPr>
                <w:rFonts w:ascii="Liberation Sans" w:hAnsi="Liberation Sans"/>
                <w:sz w:val="15"/>
              </w:rPr>
            </w:r>
            <w:r>
              <w:rPr>
                <w:rFonts w:ascii="Liberation Sans" w:hAnsi="Liberation Sans"/>
                <w:b w:val="0"/>
                <w:sz w:val="15"/>
              </w:rPr>
              <w:t>Sécuriser des capacités portuaires stratégiques et réduire la dépendance à des tiers via Santos Brasil et United Ports.</w:t>
            </w:r>
          </w:p>
        </w:tc>
        <w:tc>
          <w:tcPr>
            <w:tcW w:type="dxa" w:w="1152"/>
            <w:vAlign w:val="top"/>
            <w:shd w:fill="F2F6FA"/>
          </w:tcPr>
          <w:p>
            <w:pPr>
              <w:spacing w:after="0" w:line="240" w:lineRule="auto"/>
            </w:pPr>
            <w:r>
              <w:rPr>
                <w:rFonts w:ascii="Liberation Sans" w:hAnsi="Liberation Sans"/>
                <w:sz w:val="15"/>
              </w:rPr>
            </w:r>
            <w:r>
              <w:rPr>
                <w:rFonts w:ascii="Liberation Sans" w:hAnsi="Liberation Sans"/>
                <w:b w:val="0"/>
                <w:sz w:val="15"/>
              </w:rPr>
              <w:t>Élevé</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3</w:t>
            </w:r>
          </w:p>
        </w:tc>
        <w:tc>
          <w:tcPr>
            <w:tcW w:type="dxa" w:w="2232"/>
            <w:vAlign w:val="top"/>
          </w:tcPr>
          <w:p>
            <w:pPr>
              <w:spacing w:after="0" w:line="240" w:lineRule="auto"/>
            </w:pPr>
            <w:r>
              <w:rPr>
                <w:rFonts w:ascii="Liberation Sans" w:hAnsi="Liberation Sans"/>
                <w:sz w:val="15"/>
              </w:rPr>
            </w:r>
            <w:r>
              <w:rPr>
                <w:rFonts w:ascii="Liberation Sans" w:hAnsi="Liberation Sans"/>
                <w:b w:val="0"/>
                <w:sz w:val="15"/>
              </w:rPr>
              <w:t>IA et digital</w:t>
            </w:r>
          </w:p>
        </w:tc>
        <w:tc>
          <w:tcPr>
            <w:tcW w:type="dxa" w:w="5688"/>
            <w:vAlign w:val="top"/>
          </w:tcPr>
          <w:p>
            <w:pPr>
              <w:spacing w:after="0" w:line="240" w:lineRule="auto"/>
            </w:pPr>
            <w:r>
              <w:rPr>
                <w:rFonts w:ascii="Liberation Sans" w:hAnsi="Liberation Sans"/>
                <w:sz w:val="15"/>
              </w:rPr>
            </w:r>
            <w:r>
              <w:rPr>
                <w:rFonts w:ascii="Liberation Sans" w:hAnsi="Liberation Sans"/>
                <w:b w:val="0"/>
                <w:sz w:val="15"/>
              </w:rPr>
              <w:t>Déployer IA, data et automatisation dans shipping, logistics, media et fonctions support via Google et Mistral AI.</w:t>
            </w:r>
          </w:p>
        </w:tc>
        <w:tc>
          <w:tcPr>
            <w:tcW w:type="dxa" w:w="1152"/>
            <w:vAlign w:val="top"/>
          </w:tcPr>
          <w:p>
            <w:pPr>
              <w:spacing w:after="0" w:line="240" w:lineRule="auto"/>
            </w:pPr>
            <w:r>
              <w:rPr>
                <w:rFonts w:ascii="Liberation Sans" w:hAnsi="Liberation Sans"/>
                <w:sz w:val="15"/>
              </w:rPr>
            </w:r>
            <w:r>
              <w:rPr>
                <w:rFonts w:ascii="Liberation Sans" w:hAnsi="Liberation Sans"/>
                <w:b w:val="0"/>
                <w:sz w:val="15"/>
              </w:rPr>
              <w:t>Très élevé</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4</w:t>
            </w:r>
          </w:p>
        </w:tc>
        <w:tc>
          <w:tcPr>
            <w:tcW w:type="dxa" w:w="2232"/>
            <w:vAlign w:val="top"/>
            <w:shd w:fill="F2F6FA"/>
          </w:tcPr>
          <w:p>
            <w:pPr>
              <w:spacing w:after="0" w:line="240" w:lineRule="auto"/>
            </w:pPr>
            <w:r>
              <w:rPr>
                <w:rFonts w:ascii="Liberation Sans" w:hAnsi="Liberation Sans"/>
                <w:sz w:val="15"/>
              </w:rPr>
            </w:r>
            <w:r>
              <w:rPr>
                <w:rFonts w:ascii="Liberation Sans" w:hAnsi="Liberation Sans"/>
                <w:b w:val="0"/>
                <w:sz w:val="15"/>
              </w:rPr>
              <w:t>Décarbonation</w:t>
            </w:r>
          </w:p>
        </w:tc>
        <w:tc>
          <w:tcPr>
            <w:tcW w:type="dxa" w:w="5688"/>
            <w:vAlign w:val="top"/>
            <w:shd w:fill="F2F6FA"/>
          </w:tcPr>
          <w:p>
            <w:pPr>
              <w:spacing w:after="0" w:line="240" w:lineRule="auto"/>
            </w:pPr>
            <w:r>
              <w:rPr>
                <w:rFonts w:ascii="Liberation Sans" w:hAnsi="Liberation Sans"/>
                <w:sz w:val="15"/>
              </w:rPr>
            </w:r>
            <w:r>
              <w:rPr>
                <w:rFonts w:ascii="Liberation Sans" w:hAnsi="Liberation Sans"/>
                <w:b w:val="0"/>
                <w:sz w:val="15"/>
              </w:rPr>
              <w:t>Réduire l'empreinte carbone avec carburants alternatifs, flotte LNG, solutions bas carbone et optimisation opérationnelle.</w:t>
            </w:r>
          </w:p>
        </w:tc>
        <w:tc>
          <w:tcPr>
            <w:tcW w:type="dxa" w:w="1152"/>
            <w:vAlign w:val="top"/>
            <w:shd w:fill="F2F6FA"/>
          </w:tcPr>
          <w:p>
            <w:pPr>
              <w:spacing w:after="0" w:line="240" w:lineRule="auto"/>
            </w:pPr>
            <w:r>
              <w:rPr>
                <w:rFonts w:ascii="Liberation Sans" w:hAnsi="Liberation Sans"/>
                <w:sz w:val="15"/>
              </w:rPr>
            </w:r>
            <w:r>
              <w:rPr>
                <w:rFonts w:ascii="Liberation Sans" w:hAnsi="Liberation Sans"/>
                <w:b w:val="0"/>
                <w:sz w:val="15"/>
              </w:rPr>
              <w:t>Élevé</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5</w:t>
            </w:r>
          </w:p>
        </w:tc>
        <w:tc>
          <w:tcPr>
            <w:tcW w:type="dxa" w:w="2232"/>
            <w:vAlign w:val="top"/>
          </w:tcPr>
          <w:p>
            <w:pPr>
              <w:spacing w:after="0" w:line="240" w:lineRule="auto"/>
            </w:pPr>
            <w:r>
              <w:rPr>
                <w:rFonts w:ascii="Liberation Sans" w:hAnsi="Liberation Sans"/>
                <w:sz w:val="15"/>
              </w:rPr>
            </w:r>
            <w:r>
              <w:rPr>
                <w:rFonts w:ascii="Liberation Sans" w:hAnsi="Liberation Sans"/>
                <w:b w:val="0"/>
                <w:sz w:val="15"/>
              </w:rPr>
              <w:t>Performance / résilience</w:t>
            </w:r>
          </w:p>
        </w:tc>
        <w:tc>
          <w:tcPr>
            <w:tcW w:type="dxa" w:w="5688"/>
            <w:vAlign w:val="top"/>
          </w:tcPr>
          <w:p>
            <w:pPr>
              <w:spacing w:after="0" w:line="240" w:lineRule="auto"/>
            </w:pPr>
            <w:r>
              <w:rPr>
                <w:rFonts w:ascii="Liberation Sans" w:hAnsi="Liberation Sans"/>
                <w:sz w:val="15"/>
              </w:rPr>
            </w:r>
            <w:r>
              <w:rPr>
                <w:rFonts w:ascii="Liberation Sans" w:hAnsi="Liberation Sans"/>
                <w:b w:val="0"/>
                <w:sz w:val="15"/>
              </w:rPr>
              <w:t>Maîtriser coûts, risques fournisseurs, supply chain, cybersécurité et qualité de service dans un marché incertain.</w:t>
            </w:r>
          </w:p>
        </w:tc>
        <w:tc>
          <w:tcPr>
            <w:tcW w:type="dxa" w:w="1152"/>
            <w:vAlign w:val="top"/>
          </w:tcPr>
          <w:p>
            <w:pPr>
              <w:spacing w:after="0" w:line="240" w:lineRule="auto"/>
            </w:pPr>
            <w:r>
              <w:rPr>
                <w:rFonts w:ascii="Liberation Sans" w:hAnsi="Liberation Sans"/>
                <w:sz w:val="15"/>
              </w:rPr>
            </w:r>
            <w:r>
              <w:rPr>
                <w:rFonts w:ascii="Liberation Sans" w:hAnsi="Liberation Sans"/>
                <w:b w:val="0"/>
                <w:sz w:val="15"/>
              </w:rPr>
              <w:t>Très élevé</w:t>
            </w:r>
          </w:p>
        </w:tc>
      </w:tr>
    </w:tbl>
    <w:p/>
    <w:p>
      <w:pPr>
        <w:pStyle w:val="Heading2"/>
      </w:pPr>
      <w:r>
        <w:rPr>
          <w:rFonts w:ascii="Liberation Sans" w:hAnsi="Liberation Sans"/>
          <w:color w:val="1F4E79"/>
          <w:sz w:val="28"/>
        </w:rPr>
        <w:t>2.1 Signaux stratégiques récents</w:t>
      </w:r>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180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Signal</w:t>
            </w:r>
          </w:p>
        </w:tc>
        <w:tc>
          <w:tcPr>
            <w:tcW w:type="dxa" w:w="4176"/>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Fait public</w:t>
            </w:r>
          </w:p>
        </w:tc>
        <w:tc>
          <w:tcPr>
            <w:tcW w:type="dxa" w:w="3671"/>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Implication pour la prospection</w:t>
            </w:r>
          </w:p>
        </w:tc>
      </w:tr>
      <w:tr>
        <w:tc>
          <w:tcPr>
            <w:tcW w:type="dxa" w:w="1800"/>
            <w:vAlign w:val="top"/>
          </w:tcPr>
          <w:p>
            <w:pPr>
              <w:spacing w:after="0" w:line="240" w:lineRule="auto"/>
            </w:pPr>
            <w:r>
              <w:rPr>
                <w:rFonts w:ascii="Liberation Sans" w:hAnsi="Liberation Sans"/>
                <w:sz w:val="15"/>
              </w:rPr>
            </w:r>
            <w:r>
              <w:rPr>
                <w:rFonts w:ascii="Liberation Sans" w:hAnsi="Liberation Sans"/>
                <w:b w:val="0"/>
                <w:sz w:val="15"/>
              </w:rPr>
              <w:t>IA - Google</w:t>
            </w:r>
          </w:p>
        </w:tc>
        <w:tc>
          <w:tcPr>
            <w:tcW w:type="dxa" w:w="4176"/>
            <w:vAlign w:val="top"/>
          </w:tcPr>
          <w:p>
            <w:pPr>
              <w:spacing w:after="0" w:line="240" w:lineRule="auto"/>
            </w:pPr>
            <w:r>
              <w:rPr>
                <w:rFonts w:ascii="Liberation Sans" w:hAnsi="Liberation Sans"/>
                <w:sz w:val="15"/>
              </w:rPr>
            </w:r>
            <w:r>
              <w:rPr>
                <w:rFonts w:ascii="Liberation Sans" w:hAnsi="Liberation Sans"/>
                <w:b w:val="0"/>
                <w:sz w:val="15"/>
              </w:rPr>
              <w:t>Partenariat stratégique annoncé en juillet 2024 pour déployer l'IA dans les activités shipping, logistics et médias.</w:t>
            </w:r>
          </w:p>
        </w:tc>
        <w:tc>
          <w:tcPr>
            <w:tcW w:type="dxa" w:w="3671"/>
            <w:vAlign w:val="top"/>
          </w:tcPr>
          <w:p>
            <w:pPr>
              <w:spacing w:after="0" w:line="240" w:lineRule="auto"/>
            </w:pPr>
            <w:r>
              <w:rPr>
                <w:rFonts w:ascii="Liberation Sans" w:hAnsi="Liberation Sans"/>
                <w:sz w:val="15"/>
              </w:rPr>
            </w:r>
            <w:r>
              <w:rPr>
                <w:rFonts w:ascii="Liberation Sans" w:hAnsi="Liberation Sans"/>
                <w:b w:val="0"/>
                <w:sz w:val="15"/>
              </w:rPr>
              <w:t>Proposer des cas d'usage data, process mining, automatisation documentaire, optimisation opérations et gouvernance IA.</w:t>
            </w:r>
          </w:p>
        </w:tc>
      </w:tr>
      <w:tr>
        <w:tc>
          <w:tcPr>
            <w:tcW w:type="dxa" w:w="1800"/>
            <w:vAlign w:val="top"/>
            <w:shd w:fill="F2F6FA"/>
          </w:tcPr>
          <w:p>
            <w:pPr>
              <w:spacing w:after="0" w:line="240" w:lineRule="auto"/>
            </w:pPr>
            <w:r>
              <w:rPr>
                <w:rFonts w:ascii="Liberation Sans" w:hAnsi="Liberation Sans"/>
                <w:sz w:val="15"/>
              </w:rPr>
            </w:r>
            <w:r>
              <w:rPr>
                <w:rFonts w:ascii="Liberation Sans" w:hAnsi="Liberation Sans"/>
                <w:b w:val="0"/>
                <w:sz w:val="15"/>
              </w:rPr>
              <w:t>IA - Mistral AI</w:t>
            </w:r>
          </w:p>
        </w:tc>
        <w:tc>
          <w:tcPr>
            <w:tcW w:type="dxa" w:w="4176"/>
            <w:vAlign w:val="top"/>
            <w:shd w:fill="F2F6FA"/>
          </w:tcPr>
          <w:p>
            <w:pPr>
              <w:spacing w:after="0" w:line="240" w:lineRule="auto"/>
            </w:pPr>
            <w:r>
              <w:rPr>
                <w:rFonts w:ascii="Liberation Sans" w:hAnsi="Liberation Sans"/>
                <w:sz w:val="15"/>
              </w:rPr>
            </w:r>
            <w:r>
              <w:rPr>
                <w:rFonts w:ascii="Liberation Sans" w:hAnsi="Liberation Sans"/>
                <w:b w:val="0"/>
                <w:sz w:val="15"/>
              </w:rPr>
              <w:t>Accord de 100 M€ sur cinq ans annoncé en avril 2025 pour des solutions IA sur mesure.</w:t>
            </w:r>
          </w:p>
        </w:tc>
        <w:tc>
          <w:tcPr>
            <w:tcW w:type="dxa" w:w="3671"/>
            <w:vAlign w:val="top"/>
            <w:shd w:fill="F2F6FA"/>
          </w:tcPr>
          <w:p>
            <w:pPr>
              <w:spacing w:after="0" w:line="240" w:lineRule="auto"/>
            </w:pPr>
            <w:r>
              <w:rPr>
                <w:rFonts w:ascii="Liberation Sans" w:hAnsi="Liberation Sans"/>
                <w:sz w:val="15"/>
              </w:rPr>
            </w:r>
            <w:r>
              <w:rPr>
                <w:rFonts w:ascii="Liberation Sans" w:hAnsi="Liberation Sans"/>
                <w:b w:val="0"/>
                <w:sz w:val="15"/>
              </w:rPr>
              <w:t>Se positionner sur les briques d'industrialisation : sécurité, intégration, change, conformité, qualité des données.</w:t>
            </w:r>
          </w:p>
        </w:tc>
      </w:tr>
      <w:tr>
        <w:tc>
          <w:tcPr>
            <w:tcW w:type="dxa" w:w="1800"/>
            <w:vAlign w:val="top"/>
          </w:tcPr>
          <w:p>
            <w:pPr>
              <w:spacing w:after="0" w:line="240" w:lineRule="auto"/>
            </w:pPr>
            <w:r>
              <w:rPr>
                <w:rFonts w:ascii="Liberation Sans" w:hAnsi="Liberation Sans"/>
                <w:sz w:val="15"/>
              </w:rPr>
            </w:r>
            <w:r>
              <w:rPr>
                <w:rFonts w:ascii="Liberation Sans" w:hAnsi="Liberation Sans"/>
                <w:b w:val="0"/>
                <w:sz w:val="15"/>
              </w:rPr>
              <w:t>États-Unis</w:t>
            </w:r>
          </w:p>
        </w:tc>
        <w:tc>
          <w:tcPr>
            <w:tcW w:type="dxa" w:w="4176"/>
            <w:vAlign w:val="top"/>
          </w:tcPr>
          <w:p>
            <w:pPr>
              <w:spacing w:after="0" w:line="240" w:lineRule="auto"/>
            </w:pPr>
            <w:r>
              <w:rPr>
                <w:rFonts w:ascii="Liberation Sans" w:hAnsi="Liberation Sans"/>
                <w:sz w:val="15"/>
              </w:rPr>
            </w:r>
            <w:r>
              <w:rPr>
                <w:rFonts w:ascii="Liberation Sans" w:hAnsi="Liberation Sans"/>
                <w:b w:val="0"/>
                <w:sz w:val="15"/>
              </w:rPr>
              <w:t>Investissement annoncé de 20 Md$ sur quatre ans dans maritime, logistique et supply chain américaines.</w:t>
            </w:r>
          </w:p>
        </w:tc>
        <w:tc>
          <w:tcPr>
            <w:tcW w:type="dxa" w:w="3671"/>
            <w:vAlign w:val="top"/>
          </w:tcPr>
          <w:p>
            <w:pPr>
              <w:spacing w:after="0" w:line="240" w:lineRule="auto"/>
            </w:pPr>
            <w:r>
              <w:rPr>
                <w:rFonts w:ascii="Liberation Sans" w:hAnsi="Liberation Sans"/>
                <w:sz w:val="15"/>
              </w:rPr>
            </w:r>
            <w:r>
              <w:rPr>
                <w:rFonts w:ascii="Liberation Sans" w:hAnsi="Liberation Sans"/>
                <w:b w:val="0"/>
                <w:sz w:val="15"/>
              </w:rPr>
              <w:t>Approcher Norfolk et les responsables régionaux avec un narratif expansion / contrôle / performance.</w:t>
            </w:r>
          </w:p>
        </w:tc>
      </w:tr>
      <w:tr>
        <w:tc>
          <w:tcPr>
            <w:tcW w:type="dxa" w:w="1800"/>
            <w:vAlign w:val="top"/>
            <w:shd w:fill="F2F6FA"/>
          </w:tcPr>
          <w:p>
            <w:pPr>
              <w:spacing w:after="0" w:line="240" w:lineRule="auto"/>
            </w:pPr>
            <w:r>
              <w:rPr>
                <w:rFonts w:ascii="Liberation Sans" w:hAnsi="Liberation Sans"/>
                <w:sz w:val="15"/>
              </w:rPr>
            </w:r>
            <w:r>
              <w:rPr>
                <w:rFonts w:ascii="Liberation Sans" w:hAnsi="Liberation Sans"/>
                <w:b w:val="0"/>
                <w:sz w:val="15"/>
              </w:rPr>
              <w:t>United Ports</w:t>
            </w:r>
          </w:p>
        </w:tc>
        <w:tc>
          <w:tcPr>
            <w:tcW w:type="dxa" w:w="4176"/>
            <w:vAlign w:val="top"/>
            <w:shd w:fill="F2F6FA"/>
          </w:tcPr>
          <w:p>
            <w:pPr>
              <w:spacing w:after="0" w:line="240" w:lineRule="auto"/>
            </w:pPr>
            <w:r>
              <w:rPr>
                <w:rFonts w:ascii="Liberation Sans" w:hAnsi="Liberation Sans"/>
                <w:sz w:val="15"/>
              </w:rPr>
            </w:r>
            <w:r>
              <w:rPr>
                <w:rFonts w:ascii="Liberation Sans" w:hAnsi="Liberation Sans"/>
                <w:b w:val="0"/>
                <w:sz w:val="15"/>
              </w:rPr>
              <w:t>JV avec Stonepeak annoncée en janvier 2026 : 10 terminaux, 75 % CMA CGM / 25 % Stonepeak, contrôle opérationnel conservé par CMA CGM.</w:t>
            </w:r>
          </w:p>
        </w:tc>
        <w:tc>
          <w:tcPr>
            <w:tcW w:type="dxa" w:w="3671"/>
            <w:vAlign w:val="top"/>
            <w:shd w:fill="F2F6FA"/>
          </w:tcPr>
          <w:p>
            <w:pPr>
              <w:spacing w:after="0" w:line="240" w:lineRule="auto"/>
            </w:pPr>
            <w:r>
              <w:rPr>
                <w:rFonts w:ascii="Liberation Sans" w:hAnsi="Liberation Sans"/>
                <w:sz w:val="15"/>
              </w:rPr>
            </w:r>
            <w:r>
              <w:rPr>
                <w:rFonts w:ascii="Liberation Sans" w:hAnsi="Liberation Sans"/>
                <w:b w:val="0"/>
                <w:sz w:val="15"/>
              </w:rPr>
              <w:t>Positionner des offres terminaux : maintenance, achats capex, cyber OT, data de productivité, contrats fournisseurs.</w:t>
            </w:r>
          </w:p>
        </w:tc>
      </w:tr>
      <w:tr>
        <w:tc>
          <w:tcPr>
            <w:tcW w:type="dxa" w:w="1800"/>
            <w:vAlign w:val="top"/>
          </w:tcPr>
          <w:p>
            <w:pPr>
              <w:spacing w:after="0" w:line="240" w:lineRule="auto"/>
            </w:pPr>
            <w:r>
              <w:rPr>
                <w:rFonts w:ascii="Liberation Sans" w:hAnsi="Liberation Sans"/>
                <w:sz w:val="15"/>
              </w:rPr>
            </w:r>
            <w:r>
              <w:rPr>
                <w:rFonts w:ascii="Liberation Sans" w:hAnsi="Liberation Sans"/>
                <w:b w:val="0"/>
                <w:sz w:val="15"/>
              </w:rPr>
              <w:t>Santos Brasil</w:t>
            </w:r>
          </w:p>
        </w:tc>
        <w:tc>
          <w:tcPr>
            <w:tcW w:type="dxa" w:w="4176"/>
            <w:vAlign w:val="top"/>
          </w:tcPr>
          <w:p>
            <w:pPr>
              <w:spacing w:after="0" w:line="240" w:lineRule="auto"/>
            </w:pPr>
            <w:r>
              <w:rPr>
                <w:rFonts w:ascii="Liberation Sans" w:hAnsi="Liberation Sans"/>
                <w:sz w:val="15"/>
              </w:rPr>
            </w:r>
            <w:r>
              <w:rPr>
                <w:rFonts w:ascii="Liberation Sans" w:hAnsi="Liberation Sans"/>
                <w:b w:val="0"/>
                <w:sz w:val="15"/>
              </w:rPr>
              <w:t>Majorité prise en 2025 dans un opérateur de terminaux brésilien dont le terminal de Santos.</w:t>
            </w:r>
          </w:p>
        </w:tc>
        <w:tc>
          <w:tcPr>
            <w:tcW w:type="dxa" w:w="3671"/>
            <w:vAlign w:val="top"/>
          </w:tcPr>
          <w:p>
            <w:pPr>
              <w:spacing w:after="0" w:line="240" w:lineRule="auto"/>
            </w:pPr>
            <w:r>
              <w:rPr>
                <w:rFonts w:ascii="Liberation Sans" w:hAnsi="Liberation Sans"/>
                <w:sz w:val="15"/>
              </w:rPr>
            </w:r>
            <w:r>
              <w:rPr>
                <w:rFonts w:ascii="Liberation Sans" w:hAnsi="Liberation Sans"/>
                <w:b w:val="0"/>
                <w:sz w:val="15"/>
              </w:rPr>
              <w:t>Identifier les synergies ports + shipping + inland + logistique LATAM.</w:t>
            </w:r>
          </w:p>
        </w:tc>
      </w:tr>
    </w:tbl>
    <w:p/>
    <w:p>
      <w:pPr>
        <w:pStyle w:val="Heading2"/>
      </w:pPr>
      <w:r>
        <w:rPr>
          <w:rFonts w:ascii="Liberation Sans" w:hAnsi="Liberation Sans"/>
          <w:color w:val="1F4E79"/>
          <w:sz w:val="28"/>
        </w:rPr>
        <w:t>2.2 Points de douleur probables</w:t>
      </w:r>
    </w:p>
    <w:p>
      <w:pPr>
        <w:pStyle w:val="ListBullet"/>
        <w:spacing w:after="40"/>
      </w:pPr>
      <w:r>
        <w:rPr>
          <w:rFonts w:ascii="Liberation Sans" w:hAnsi="Liberation Sans"/>
          <w:sz w:val="18"/>
        </w:rPr>
        <w:t>Volatilité des taux de fret et besoin de piloter la marge par ligne, route, client, service et terminal.</w:t>
      </w:r>
    </w:p>
    <w:p>
      <w:pPr>
        <w:pStyle w:val="ListBullet"/>
        <w:spacing w:after="40"/>
      </w:pPr>
      <w:r>
        <w:rPr>
          <w:rFonts w:ascii="Liberation Sans" w:hAnsi="Liberation Sans"/>
          <w:sz w:val="18"/>
        </w:rPr>
        <w:t>Intégration de nombreuses acquisitions et harmonisation des processus achats, finance, IT, reporting et conformité.</w:t>
      </w:r>
    </w:p>
    <w:p>
      <w:pPr>
        <w:pStyle w:val="ListBullet"/>
        <w:spacing w:after="40"/>
      </w:pPr>
      <w:r>
        <w:rPr>
          <w:rFonts w:ascii="Liberation Sans" w:hAnsi="Liberation Sans"/>
          <w:sz w:val="18"/>
        </w:rPr>
        <w:t>Risque cyber élevé : données clients, eBusiness, opérations portuaires, OT/IT, chaînes logistiques critiques et exposition mondiale.</w:t>
      </w:r>
    </w:p>
    <w:p>
      <w:pPr>
        <w:pStyle w:val="ListBullet"/>
        <w:spacing w:after="40"/>
      </w:pPr>
      <w:r>
        <w:rPr>
          <w:rFonts w:ascii="Liberation Sans" w:hAnsi="Liberation Sans"/>
          <w:sz w:val="18"/>
        </w:rPr>
        <w:t>Complexité fournisseurs : navires, carburants, terminaux, transport terrestre, IT, énergie, facilities, sous-traitance logistique, prestations corporate.</w:t>
      </w:r>
    </w:p>
    <w:p>
      <w:pPr>
        <w:pStyle w:val="ListBullet"/>
        <w:spacing w:after="40"/>
      </w:pPr>
      <w:r>
        <w:rPr>
          <w:rFonts w:ascii="Liberation Sans" w:hAnsi="Liberation Sans"/>
          <w:sz w:val="18"/>
        </w:rPr>
        <w:t>Pression ESG : trajectoire carbone, carburants alternatifs, reporting, supply chain responsable et exigences clients grands comptes.</w:t>
      </w:r>
    </w:p>
    <w:p>
      <w:pPr>
        <w:pStyle w:val="ListBullet"/>
        <w:spacing w:after="40"/>
      </w:pPr>
      <w:r>
        <w:rPr>
          <w:rFonts w:ascii="Liberation Sans" w:hAnsi="Liberation Sans"/>
          <w:sz w:val="18"/>
        </w:rPr>
        <w:t>Nécessité de convertir les partenariats IA en gains opérationnels concrets, gouvernés et mesurables.</w:t>
      </w:r>
    </w:p>
    <w:p>
      <w:pPr>
        <w:pStyle w:val="Heading1"/>
      </w:pPr>
      <w:r>
        <w:rPr>
          <w:rFonts w:ascii="Liberation Sans" w:hAnsi="Liberation Sans"/>
          <w:color w:val="0B1F3A"/>
          <w:sz w:val="36"/>
        </w:rPr>
        <w:t>3. Comment le groupe fonctionne : modèle d'organisation</w:t>
      </w:r>
    </w:p>
    <w:p>
      <w:pPr>
        <w:spacing w:after="100"/>
      </w:pPr>
      <w:r>
        <w:rPr>
          <w:rFonts w:ascii="Liberation Sans" w:hAnsi="Liberation Sans"/>
          <w:sz w:val="19"/>
        </w:rPr>
        <w:t>CMA CGM fonctionne comme un groupe intégré mais matriciel. Le siège pilote la stratégie, la finance, les grands programmes, les choix technologiques, la gouvernance, les achats groupe et les directions transverses. Les zones géographiques et agences locales portent la relation client, l'exploitation, les flux documentaires, la coordination portuaire et le customer service. CEVA Logistics opère comme une filiale globale de logistique intégrée, avec sa propre empreinte et ses propres circuits de décision, mais sous contrôle stratégique du groupe.</w:t>
      </w:r>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1655"/>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Bloc</w:t>
            </w:r>
          </w:p>
        </w:tc>
        <w:tc>
          <w:tcPr>
            <w:tcW w:type="dxa" w:w="432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Rôle probable</w:t>
            </w:r>
          </w:p>
        </w:tc>
        <w:tc>
          <w:tcPr>
            <w:tcW w:type="dxa" w:w="352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Où le traiter</w:t>
            </w:r>
          </w:p>
        </w:tc>
      </w:tr>
      <w:tr>
        <w:tc>
          <w:tcPr>
            <w:tcW w:type="dxa" w:w="1655"/>
            <w:vAlign w:val="top"/>
          </w:tcPr>
          <w:p>
            <w:pPr>
              <w:spacing w:after="0" w:line="240" w:lineRule="auto"/>
            </w:pPr>
            <w:r>
              <w:rPr>
                <w:rFonts w:ascii="Liberation Sans" w:hAnsi="Liberation Sans"/>
                <w:sz w:val="15"/>
              </w:rPr>
            </w:r>
            <w:r>
              <w:rPr>
                <w:rFonts w:ascii="Liberation Sans" w:hAnsi="Liberation Sans"/>
                <w:b w:val="0"/>
                <w:sz w:val="15"/>
              </w:rPr>
              <w:t>Siège / Corporate</w:t>
            </w:r>
          </w:p>
        </w:tc>
        <w:tc>
          <w:tcPr>
            <w:tcW w:type="dxa" w:w="4320"/>
            <w:vAlign w:val="top"/>
          </w:tcPr>
          <w:p>
            <w:pPr>
              <w:spacing w:after="0" w:line="240" w:lineRule="auto"/>
            </w:pPr>
            <w:r>
              <w:rPr>
                <w:rFonts w:ascii="Liberation Sans" w:hAnsi="Liberation Sans"/>
                <w:sz w:val="15"/>
              </w:rPr>
            </w:r>
            <w:r>
              <w:rPr>
                <w:rFonts w:ascii="Liberation Sans" w:hAnsi="Liberation Sans"/>
                <w:b w:val="0"/>
                <w:sz w:val="15"/>
              </w:rPr>
              <w:t>Présidence, finance, stratégie, IT / digital / IA / cyber, achats groupe, juridique, communication, RH, risk, performance</w:t>
            </w:r>
          </w:p>
        </w:tc>
        <w:tc>
          <w:tcPr>
            <w:tcW w:type="dxa" w:w="3528"/>
            <w:vAlign w:val="top"/>
          </w:tcPr>
          <w:p>
            <w:pPr>
              <w:spacing w:after="0" w:line="240" w:lineRule="auto"/>
            </w:pPr>
            <w:r>
              <w:rPr>
                <w:rFonts w:ascii="Liberation Sans" w:hAnsi="Liberation Sans"/>
                <w:sz w:val="15"/>
              </w:rPr>
            </w:r>
            <w:r>
              <w:rPr>
                <w:rFonts w:ascii="Liberation Sans" w:hAnsi="Liberation Sans"/>
                <w:b w:val="0"/>
                <w:sz w:val="15"/>
              </w:rPr>
              <w:t>Marseille, avec relais Île-de-France et entités internationales</w:t>
            </w:r>
          </w:p>
        </w:tc>
      </w:tr>
      <w:tr>
        <w:tc>
          <w:tcPr>
            <w:tcW w:type="dxa" w:w="1655"/>
            <w:vAlign w:val="top"/>
            <w:shd w:fill="F2F6FA"/>
          </w:tcPr>
          <w:p>
            <w:pPr>
              <w:spacing w:after="0" w:line="240" w:lineRule="auto"/>
            </w:pPr>
            <w:r>
              <w:rPr>
                <w:rFonts w:ascii="Liberation Sans" w:hAnsi="Liberation Sans"/>
                <w:sz w:val="15"/>
              </w:rPr>
            </w:r>
            <w:r>
              <w:rPr>
                <w:rFonts w:ascii="Liberation Sans" w:hAnsi="Liberation Sans"/>
                <w:b w:val="0"/>
                <w:sz w:val="15"/>
              </w:rPr>
              <w:t>Shipping</w:t>
            </w:r>
          </w:p>
        </w:tc>
        <w:tc>
          <w:tcPr>
            <w:tcW w:type="dxa" w:w="4320"/>
            <w:vAlign w:val="top"/>
            <w:shd w:fill="F2F6FA"/>
          </w:tcPr>
          <w:p>
            <w:pPr>
              <w:spacing w:after="0" w:line="240" w:lineRule="auto"/>
            </w:pPr>
            <w:r>
              <w:rPr>
                <w:rFonts w:ascii="Liberation Sans" w:hAnsi="Liberation Sans"/>
                <w:sz w:val="15"/>
              </w:rPr>
            </w:r>
            <w:r>
              <w:rPr>
                <w:rFonts w:ascii="Liberation Sans" w:hAnsi="Liberation Sans"/>
                <w:b w:val="0"/>
                <w:sz w:val="15"/>
              </w:rPr>
              <w:t>Lignes maritimes, pricing, network, alliances, opérations navires, customer service, eBusiness</w:t>
            </w:r>
          </w:p>
        </w:tc>
        <w:tc>
          <w:tcPr>
            <w:tcW w:type="dxa" w:w="3528"/>
            <w:vAlign w:val="top"/>
            <w:shd w:fill="F2F6FA"/>
          </w:tcPr>
          <w:p>
            <w:pPr>
              <w:spacing w:after="0" w:line="240" w:lineRule="auto"/>
            </w:pPr>
            <w:r>
              <w:rPr>
                <w:rFonts w:ascii="Liberation Sans" w:hAnsi="Liberation Sans"/>
                <w:sz w:val="15"/>
              </w:rPr>
            </w:r>
            <w:r>
              <w:rPr>
                <w:rFonts w:ascii="Liberation Sans" w:hAnsi="Liberation Sans"/>
                <w:b w:val="0"/>
                <w:sz w:val="15"/>
              </w:rPr>
              <w:t>Marseille + agences pays + hubs portuaires</w:t>
            </w:r>
          </w:p>
        </w:tc>
      </w:tr>
      <w:tr>
        <w:tc>
          <w:tcPr>
            <w:tcW w:type="dxa" w:w="1655"/>
            <w:vAlign w:val="top"/>
          </w:tcPr>
          <w:p>
            <w:pPr>
              <w:spacing w:after="0" w:line="240" w:lineRule="auto"/>
            </w:pPr>
            <w:r>
              <w:rPr>
                <w:rFonts w:ascii="Liberation Sans" w:hAnsi="Liberation Sans"/>
                <w:sz w:val="15"/>
              </w:rPr>
            </w:r>
            <w:r>
              <w:rPr>
                <w:rFonts w:ascii="Liberation Sans" w:hAnsi="Liberation Sans"/>
                <w:b w:val="0"/>
                <w:sz w:val="15"/>
              </w:rPr>
              <w:t>CEVA Logistics</w:t>
            </w:r>
          </w:p>
        </w:tc>
        <w:tc>
          <w:tcPr>
            <w:tcW w:type="dxa" w:w="4320"/>
            <w:vAlign w:val="top"/>
          </w:tcPr>
          <w:p>
            <w:pPr>
              <w:spacing w:after="0" w:line="240" w:lineRule="auto"/>
            </w:pPr>
            <w:r>
              <w:rPr>
                <w:rFonts w:ascii="Liberation Sans" w:hAnsi="Liberation Sans"/>
                <w:sz w:val="15"/>
              </w:rPr>
            </w:r>
            <w:r>
              <w:rPr>
                <w:rFonts w:ascii="Liberation Sans" w:hAnsi="Liberation Sans"/>
                <w:b w:val="0"/>
                <w:sz w:val="15"/>
              </w:rPr>
              <w:t>Contract logistics, freight management, e-commerce, distribution, air/ocean freight, warehousing</w:t>
            </w:r>
          </w:p>
        </w:tc>
        <w:tc>
          <w:tcPr>
            <w:tcW w:type="dxa" w:w="3528"/>
            <w:vAlign w:val="top"/>
          </w:tcPr>
          <w:p>
            <w:pPr>
              <w:spacing w:after="0" w:line="240" w:lineRule="auto"/>
            </w:pPr>
            <w:r>
              <w:rPr>
                <w:rFonts w:ascii="Liberation Sans" w:hAnsi="Liberation Sans"/>
                <w:sz w:val="15"/>
              </w:rPr>
            </w:r>
            <w:r>
              <w:rPr>
                <w:rFonts w:ascii="Liberation Sans" w:hAnsi="Liberation Sans"/>
                <w:b w:val="0"/>
                <w:sz w:val="15"/>
              </w:rPr>
              <w:t>Réseau global, France / Courbevoie et sites logistiques</w:t>
            </w:r>
          </w:p>
        </w:tc>
      </w:tr>
      <w:tr>
        <w:tc>
          <w:tcPr>
            <w:tcW w:type="dxa" w:w="1655"/>
            <w:vAlign w:val="top"/>
            <w:shd w:fill="F2F6FA"/>
          </w:tcPr>
          <w:p>
            <w:pPr>
              <w:spacing w:after="0" w:line="240" w:lineRule="auto"/>
            </w:pPr>
            <w:r>
              <w:rPr>
                <w:rFonts w:ascii="Liberation Sans" w:hAnsi="Liberation Sans"/>
                <w:sz w:val="15"/>
              </w:rPr>
            </w:r>
            <w:r>
              <w:rPr>
                <w:rFonts w:ascii="Liberation Sans" w:hAnsi="Liberation Sans"/>
                <w:b w:val="0"/>
                <w:sz w:val="15"/>
              </w:rPr>
              <w:t>Ports &amp; terminals</w:t>
            </w:r>
          </w:p>
        </w:tc>
        <w:tc>
          <w:tcPr>
            <w:tcW w:type="dxa" w:w="4320"/>
            <w:vAlign w:val="top"/>
            <w:shd w:fill="F2F6FA"/>
          </w:tcPr>
          <w:p>
            <w:pPr>
              <w:spacing w:after="0" w:line="240" w:lineRule="auto"/>
            </w:pPr>
            <w:r>
              <w:rPr>
                <w:rFonts w:ascii="Liberation Sans" w:hAnsi="Liberation Sans"/>
                <w:sz w:val="15"/>
              </w:rPr>
            </w:r>
            <w:r>
              <w:rPr>
                <w:rFonts w:ascii="Liberation Sans" w:hAnsi="Liberation Sans"/>
                <w:b w:val="0"/>
                <w:sz w:val="15"/>
              </w:rPr>
              <w:t>Opérations portuaires, capex, productivité, équipements, automatisation, sécurité, concessions</w:t>
            </w:r>
          </w:p>
        </w:tc>
        <w:tc>
          <w:tcPr>
            <w:tcW w:type="dxa" w:w="3528"/>
            <w:vAlign w:val="top"/>
            <w:shd w:fill="F2F6FA"/>
          </w:tcPr>
          <w:p>
            <w:pPr>
              <w:spacing w:after="0" w:line="240" w:lineRule="auto"/>
            </w:pPr>
            <w:r>
              <w:rPr>
                <w:rFonts w:ascii="Liberation Sans" w:hAnsi="Liberation Sans"/>
                <w:sz w:val="15"/>
              </w:rPr>
            </w:r>
            <w:r>
              <w:rPr>
                <w:rFonts w:ascii="Liberation Sans" w:hAnsi="Liberation Sans"/>
                <w:b w:val="0"/>
                <w:sz w:val="15"/>
              </w:rPr>
              <w:t>Portfolios United Ports, Terminal Link, Santos Brasil et actifs régionaux</w:t>
            </w:r>
          </w:p>
        </w:tc>
      </w:tr>
      <w:tr>
        <w:tc>
          <w:tcPr>
            <w:tcW w:type="dxa" w:w="1655"/>
            <w:vAlign w:val="top"/>
          </w:tcPr>
          <w:p>
            <w:pPr>
              <w:spacing w:after="0" w:line="240" w:lineRule="auto"/>
            </w:pPr>
            <w:r>
              <w:rPr>
                <w:rFonts w:ascii="Liberation Sans" w:hAnsi="Liberation Sans"/>
                <w:sz w:val="15"/>
              </w:rPr>
            </w:r>
            <w:r>
              <w:rPr>
                <w:rFonts w:ascii="Liberation Sans" w:hAnsi="Liberation Sans"/>
                <w:b w:val="0"/>
                <w:sz w:val="15"/>
              </w:rPr>
              <w:t>Air Cargo</w:t>
            </w:r>
          </w:p>
        </w:tc>
        <w:tc>
          <w:tcPr>
            <w:tcW w:type="dxa" w:w="4320"/>
            <w:vAlign w:val="top"/>
          </w:tcPr>
          <w:p>
            <w:pPr>
              <w:spacing w:after="0" w:line="240" w:lineRule="auto"/>
            </w:pPr>
            <w:r>
              <w:rPr>
                <w:rFonts w:ascii="Liberation Sans" w:hAnsi="Liberation Sans"/>
                <w:sz w:val="15"/>
              </w:rPr>
            </w:r>
            <w:r>
              <w:rPr>
                <w:rFonts w:ascii="Liberation Sans" w:hAnsi="Liberation Sans"/>
                <w:b w:val="0"/>
                <w:sz w:val="15"/>
              </w:rPr>
              <w:t>Fret aérien, réseaux, capacités, opérations, synergies mer-air-logistique</w:t>
            </w:r>
          </w:p>
        </w:tc>
        <w:tc>
          <w:tcPr>
            <w:tcW w:type="dxa" w:w="3528"/>
            <w:vAlign w:val="top"/>
          </w:tcPr>
          <w:p>
            <w:pPr>
              <w:spacing w:after="0" w:line="240" w:lineRule="auto"/>
            </w:pPr>
            <w:r>
              <w:rPr>
                <w:rFonts w:ascii="Liberation Sans" w:hAnsi="Liberation Sans"/>
                <w:sz w:val="15"/>
              </w:rPr>
            </w:r>
            <w:r>
              <w:rPr>
                <w:rFonts w:ascii="Liberation Sans" w:hAnsi="Liberation Sans"/>
                <w:b w:val="0"/>
                <w:sz w:val="15"/>
              </w:rPr>
              <w:t>Europe / hubs cargo et sièges groupe</w:t>
            </w:r>
          </w:p>
        </w:tc>
      </w:tr>
      <w:tr>
        <w:tc>
          <w:tcPr>
            <w:tcW w:type="dxa" w:w="1655"/>
            <w:vAlign w:val="top"/>
            <w:shd w:fill="F2F6FA"/>
          </w:tcPr>
          <w:p>
            <w:pPr>
              <w:spacing w:after="0" w:line="240" w:lineRule="auto"/>
            </w:pPr>
            <w:r>
              <w:rPr>
                <w:rFonts w:ascii="Liberation Sans" w:hAnsi="Liberation Sans"/>
                <w:sz w:val="15"/>
              </w:rPr>
            </w:r>
            <w:r>
              <w:rPr>
                <w:rFonts w:ascii="Liberation Sans" w:hAnsi="Liberation Sans"/>
                <w:b w:val="0"/>
                <w:sz w:val="15"/>
              </w:rPr>
              <w:t>Médias</w:t>
            </w:r>
          </w:p>
        </w:tc>
        <w:tc>
          <w:tcPr>
            <w:tcW w:type="dxa" w:w="4320"/>
            <w:vAlign w:val="top"/>
            <w:shd w:fill="F2F6FA"/>
          </w:tcPr>
          <w:p>
            <w:pPr>
              <w:spacing w:after="0" w:line="240" w:lineRule="auto"/>
            </w:pPr>
            <w:r>
              <w:rPr>
                <w:rFonts w:ascii="Liberation Sans" w:hAnsi="Liberation Sans"/>
                <w:sz w:val="15"/>
              </w:rPr>
            </w:r>
            <w:r>
              <w:rPr>
                <w:rFonts w:ascii="Liberation Sans" w:hAnsi="Liberation Sans"/>
                <w:b w:val="0"/>
                <w:sz w:val="15"/>
              </w:rPr>
              <w:t>CMA Media, La Provence, BFM/RMC, Brut selon périmètres publics</w:t>
            </w:r>
          </w:p>
        </w:tc>
        <w:tc>
          <w:tcPr>
            <w:tcW w:type="dxa" w:w="3528"/>
            <w:vAlign w:val="top"/>
            <w:shd w:fill="F2F6FA"/>
          </w:tcPr>
          <w:p>
            <w:pPr>
              <w:spacing w:after="0" w:line="240" w:lineRule="auto"/>
            </w:pPr>
            <w:r>
              <w:rPr>
                <w:rFonts w:ascii="Liberation Sans" w:hAnsi="Liberation Sans"/>
                <w:sz w:val="15"/>
              </w:rPr>
            </w:r>
            <w:r>
              <w:rPr>
                <w:rFonts w:ascii="Liberation Sans" w:hAnsi="Liberation Sans"/>
                <w:b w:val="0"/>
                <w:sz w:val="15"/>
              </w:rPr>
              <w:t>France, gouvernance distincte mais enjeu réputationnel groupe</w:t>
            </w:r>
          </w:p>
        </w:tc>
      </w:tr>
    </w:tbl>
    <w:p/>
    <w:p>
      <w:pPr>
        <w:pStyle w:val="Heading2"/>
      </w:pPr>
      <w:r>
        <w:rPr>
          <w:rFonts w:ascii="Liberation Sans" w:hAnsi="Liberation Sans"/>
          <w:color w:val="1F4E79"/>
          <w:sz w:val="28"/>
        </w:rPr>
        <w:t>3.1 Cartographie décisionnelle : pouvoir, influence, accès</w:t>
      </w:r>
    </w:p>
    <w:p>
      <w:pPr>
        <w:spacing w:after="100"/>
      </w:pPr>
      <w:r>
        <w:rPr>
          <w:rFonts w:ascii="Liberation Sans" w:hAnsi="Liberation Sans"/>
          <w:sz w:val="19"/>
        </w:rPr>
        <w:t>La matrice ci-dessous distingue les décideurs nominatifs publics, les fonctions clés à cartographier et les portes d'entrée opérationnelles. Elle doit être enrichie avec vos informations CRM, les historiques de rendez-vous, les partenaires communs et les signaux d'appels d'offres.</w:t>
      </w:r>
    </w:p>
    <w:p>
      <w:pPr>
        <w:sectPr>
          <w:headerReference w:type="default" r:id="rId9"/>
          <w:footerReference w:type="default" r:id="rId10"/>
          <w:pgSz w:w="11906" w:h="16838"/>
          <w:pgMar w:top="794" w:right="794" w:bottom="794" w:left="794" w:header="720" w:footer="720" w:gutter="0"/>
          <w:cols w:space="720"/>
          <w:docGrid w:linePitch="360"/>
        </w:sectPr>
      </w:pPr>
    </w:p>
    <w:p>
      <w:pPr>
        <w:pStyle w:val="Heading1"/>
      </w:pPr>
      <w:r>
        <w:rPr>
          <w:rFonts w:ascii="Liberation Sans" w:hAnsi="Liberation Sans"/>
          <w:color w:val="0B1F3A"/>
          <w:sz w:val="36"/>
        </w:rPr>
        <w:t>4. Cartographie organisationnelle et parties prenantes</w:t>
      </w:r>
    </w:p>
    <w:tbl>
      <w:tblPr>
        <w:tblStyle w:val="TableGrid"/>
        <w:tblW w:type="auto" w:w="0"/>
        <w:jc w:val="center"/>
        <w:tblLayout w:type="fixed"/>
        <w:tblLook w:firstColumn="1" w:firstRow="1" w:lastColumn="0" w:lastRow="0" w:noHBand="0" w:noVBand="1" w:val="04A0"/>
      </w:tblPr>
      <w:tblGrid>
        <w:gridCol w:w="2243"/>
        <w:gridCol w:w="2243"/>
        <w:gridCol w:w="2243"/>
        <w:gridCol w:w="2243"/>
        <w:gridCol w:w="2243"/>
        <w:gridCol w:w="2243"/>
        <w:gridCol w:w="2243"/>
      </w:tblGrid>
      <w:tr>
        <w:trPr>
          <w:tblHeader w:val="true"/>
        </w:trPr>
        <w:tc>
          <w:tcPr>
            <w:tcW w:type="dxa" w:w="1728"/>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Périmètre</w:t>
            </w:r>
          </w:p>
        </w:tc>
        <w:tc>
          <w:tcPr>
            <w:tcW w:type="dxa" w:w="2160"/>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Personne</w:t>
            </w:r>
          </w:p>
        </w:tc>
        <w:tc>
          <w:tcPr>
            <w:tcW w:type="dxa" w:w="2232"/>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Intitulé</w:t>
            </w:r>
          </w:p>
        </w:tc>
        <w:tc>
          <w:tcPr>
            <w:tcW w:type="dxa" w:w="3384"/>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Rôle dans le compte</w:t>
            </w:r>
          </w:p>
        </w:tc>
        <w:tc>
          <w:tcPr>
            <w:tcW w:type="dxa" w:w="1728"/>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Site probable</w:t>
            </w:r>
          </w:p>
        </w:tc>
        <w:tc>
          <w:tcPr>
            <w:tcW w:type="dxa" w:w="1152"/>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Confiance</w:t>
            </w:r>
          </w:p>
        </w:tc>
        <w:tc>
          <w:tcPr>
            <w:tcW w:type="dxa" w:w="2736"/>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Coordonnée / canal public</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Présidence / CEO</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Rodolphe Saadé</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Chairman &amp; CEO</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Arbitrage stratégique, transformation, investissements, réputation, grands partenariats</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Public</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Siège CMA CGM - standard +33 4 88 91 90 00</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Conseil / Executive</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Tanya Saadé Zeenny</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Directrice / Executive Officer</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Gouvernance, famille actionnaire, stratégie groupe, influence corporate</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Public</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Coordonnée directe non publiée ; passer par corporate / réseau</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Finance</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Ramon Fernandez</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CFO / Direction financière groupe</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Financement, performance, capex, dette, arbitrages investissements</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Public</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Coordonnée directe non publiée ; passer par siège / réseau finance</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IT / Digital / IA / Cyber</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Marlène Dolveck</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EVP IT, Digital Transformation, AI, Cybersecurity &amp; Group R&amp;D</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Data, IA, transformation, cybersécurité, portefeuille projets IT</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Officiel</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Coordonnée directe non publiée ; porte d'entrée : siège + direction IT</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Audit / Risk / Performance</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Nadine Jaudet</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EVP Audit, Risk, Performance, Insurance &amp; Global Shared Services</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Risques, contrôle, performance, shared services, assurance</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Officiel / LinkedIn CMA CGM</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Coordonnée directe non publiée ; adresser via gouvernance risk</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Achats groupe</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Louis Schmidtlin</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SVP &amp; Group Chief Procurement Officer</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Stratégie achats, gouvernance fournisseurs, transformation achats, indirect / marine / logistics</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France / probablement Marseille-Paris</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Public pro</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Coordonnée directe non publiée ; passer par siège, événements achats, réseau LinkedIn</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Achats groupe</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Marina Le Badezet</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Deputy Group Chief Procurement Officer</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Achats groupe, procurement organisation, non-trade / indirect selon sources publiques</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France</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LinkedIn public</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Coordonnée directe non publiée ; réseau LinkedIn / siège</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Achats énergie</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Mireille Trabuc</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Purchasing Manager - Energy Department</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Achats énergie, carburants / utilities / catégories énergie</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Public CMA CGM</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Coordonnée directe non publiée</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Achats Amérique du Nord</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Bob Basila</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SVP &amp; Chief Procurement Officer - CMA CGM North America</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Achats transport : ocean terminal, rail, truck, barge, chassis, depot, corporate services</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Norfolk, VA</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Public événement</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CMA CGM America LLC, 1 CMA CGM Way, Norfolk, +1 757 961 2100</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Shipping CIO</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Non nommé publiquement</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CIO Shipping</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Décisions applicatives shipping, eBusiness, architecture métier shipping</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Déduit offres d'emploi</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Identifier via warm intro ; poste Project Manager to Shipping CIO basé Marseille</w:t>
            </w:r>
          </w:p>
        </w:tc>
      </w:tr>
      <w:tr>
        <w:tc>
          <w:tcPr>
            <w:tcW w:type="dxa" w:w="1728"/>
            <w:vAlign w:val="top"/>
          </w:tcPr>
          <w:p>
            <w:pPr>
              <w:spacing w:after="0" w:line="240" w:lineRule="auto"/>
            </w:pPr>
            <w:r>
              <w:rPr>
                <w:rFonts w:ascii="Liberation Sans" w:hAnsi="Liberation Sans"/>
                <w:sz w:val="12"/>
              </w:rPr>
            </w:r>
            <w:r>
              <w:rPr>
                <w:rFonts w:ascii="Liberation Sans" w:hAnsi="Liberation Sans"/>
                <w:b w:val="0"/>
                <w:sz w:val="12"/>
              </w:rPr>
              <w:t>Chief of Staff IT</w:t>
            </w:r>
          </w:p>
        </w:tc>
        <w:tc>
          <w:tcPr>
            <w:tcW w:type="dxa" w:w="2160"/>
            <w:vAlign w:val="top"/>
          </w:tcPr>
          <w:p>
            <w:pPr>
              <w:spacing w:after="0" w:line="240" w:lineRule="auto"/>
            </w:pPr>
            <w:r>
              <w:rPr>
                <w:rFonts w:ascii="Liberation Sans" w:hAnsi="Liberation Sans"/>
                <w:sz w:val="12"/>
              </w:rPr>
            </w:r>
            <w:r>
              <w:rPr>
                <w:rFonts w:ascii="Liberation Sans" w:hAnsi="Liberation Sans"/>
                <w:b w:val="0"/>
                <w:sz w:val="12"/>
              </w:rPr>
              <w:t>Non nommé publiquement</w:t>
            </w:r>
          </w:p>
        </w:tc>
        <w:tc>
          <w:tcPr>
            <w:tcW w:type="dxa" w:w="2232"/>
            <w:vAlign w:val="top"/>
          </w:tcPr>
          <w:p>
            <w:pPr>
              <w:spacing w:after="0" w:line="240" w:lineRule="auto"/>
            </w:pPr>
            <w:r>
              <w:rPr>
                <w:rFonts w:ascii="Liberation Sans" w:hAnsi="Liberation Sans"/>
                <w:sz w:val="12"/>
              </w:rPr>
            </w:r>
            <w:r>
              <w:rPr>
                <w:rFonts w:ascii="Liberation Sans" w:hAnsi="Liberation Sans"/>
                <w:b w:val="0"/>
                <w:sz w:val="12"/>
              </w:rPr>
              <w:t>Chief of Staff auprès de l'EVP IT / Digital / Cyber</w:t>
            </w:r>
          </w:p>
        </w:tc>
        <w:tc>
          <w:tcPr>
            <w:tcW w:type="dxa" w:w="3384"/>
            <w:vAlign w:val="top"/>
          </w:tcPr>
          <w:p>
            <w:pPr>
              <w:spacing w:after="0" w:line="240" w:lineRule="auto"/>
            </w:pPr>
            <w:r>
              <w:rPr>
                <w:rFonts w:ascii="Liberation Sans" w:hAnsi="Liberation Sans"/>
                <w:sz w:val="12"/>
              </w:rPr>
            </w:r>
            <w:r>
              <w:rPr>
                <w:rFonts w:ascii="Liberation Sans" w:hAnsi="Liberation Sans"/>
                <w:b w:val="0"/>
                <w:sz w:val="12"/>
              </w:rPr>
              <w:t>Orchestration roadmap, arbitrage portefeuille, budget et supports exécutifs</w:t>
            </w:r>
          </w:p>
        </w:tc>
        <w:tc>
          <w:tcPr>
            <w:tcW w:type="dxa" w:w="1728"/>
            <w:vAlign w:val="top"/>
          </w:tcPr>
          <w:p>
            <w:pPr>
              <w:spacing w:after="0" w:line="240" w:lineRule="auto"/>
            </w:pPr>
            <w:r>
              <w:rPr>
                <w:rFonts w:ascii="Liberation Sans" w:hAnsi="Liberation Sans"/>
                <w:sz w:val="12"/>
              </w:rPr>
            </w:r>
            <w:r>
              <w:rPr>
                <w:rFonts w:ascii="Liberation Sans" w:hAnsi="Liberation Sans"/>
                <w:b w:val="0"/>
                <w:sz w:val="12"/>
              </w:rPr>
              <w:t>Marseille</w:t>
            </w:r>
          </w:p>
        </w:tc>
        <w:tc>
          <w:tcPr>
            <w:tcW w:type="dxa" w:w="1152"/>
            <w:vAlign w:val="top"/>
          </w:tcPr>
          <w:p>
            <w:pPr>
              <w:spacing w:after="0" w:line="240" w:lineRule="auto"/>
            </w:pPr>
            <w:r>
              <w:rPr>
                <w:rFonts w:ascii="Liberation Sans" w:hAnsi="Liberation Sans"/>
                <w:sz w:val="12"/>
              </w:rPr>
            </w:r>
            <w:r>
              <w:rPr>
                <w:rFonts w:ascii="Liberation Sans" w:hAnsi="Liberation Sans"/>
                <w:b w:val="0"/>
                <w:sz w:val="12"/>
              </w:rPr>
              <w:t>Déduit offres d'emploi</w:t>
            </w:r>
          </w:p>
        </w:tc>
        <w:tc>
          <w:tcPr>
            <w:tcW w:type="dxa" w:w="2736"/>
            <w:vAlign w:val="top"/>
          </w:tcPr>
          <w:p>
            <w:pPr>
              <w:spacing w:after="0" w:line="240" w:lineRule="auto"/>
            </w:pPr>
            <w:r>
              <w:rPr>
                <w:rFonts w:ascii="Liberation Sans" w:hAnsi="Liberation Sans"/>
                <w:sz w:val="12"/>
              </w:rPr>
            </w:r>
            <w:r>
              <w:rPr>
                <w:rFonts w:ascii="Liberation Sans" w:hAnsi="Liberation Sans"/>
                <w:b w:val="0"/>
                <w:sz w:val="12"/>
              </w:rPr>
              <w:t>Poste public mais titulaire non identifié</w:t>
            </w:r>
          </w:p>
        </w:tc>
      </w:tr>
      <w:tr>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Cyber / SOC</w:t>
            </w:r>
          </w:p>
        </w:tc>
        <w:tc>
          <w:tcPr>
            <w:tcW w:type="dxa" w:w="2160"/>
            <w:vAlign w:val="top"/>
            <w:shd w:fill="F2F6FA"/>
          </w:tcPr>
          <w:p>
            <w:pPr>
              <w:spacing w:after="0" w:line="240" w:lineRule="auto"/>
            </w:pPr>
            <w:r>
              <w:rPr>
                <w:rFonts w:ascii="Liberation Sans" w:hAnsi="Liberation Sans"/>
                <w:sz w:val="12"/>
              </w:rPr>
            </w:r>
            <w:r>
              <w:rPr>
                <w:rFonts w:ascii="Liberation Sans" w:hAnsi="Liberation Sans"/>
                <w:b w:val="0"/>
                <w:sz w:val="12"/>
              </w:rPr>
              <w:t>Non nommé publiquement</w:t>
            </w:r>
          </w:p>
        </w:tc>
        <w:tc>
          <w:tcPr>
            <w:tcW w:type="dxa" w:w="2232"/>
            <w:vAlign w:val="top"/>
            <w:shd w:fill="F2F6FA"/>
          </w:tcPr>
          <w:p>
            <w:pPr>
              <w:spacing w:after="0" w:line="240" w:lineRule="auto"/>
            </w:pPr>
            <w:r>
              <w:rPr>
                <w:rFonts w:ascii="Liberation Sans" w:hAnsi="Liberation Sans"/>
                <w:sz w:val="12"/>
              </w:rPr>
            </w:r>
            <w:r>
              <w:rPr>
                <w:rFonts w:ascii="Liberation Sans" w:hAnsi="Liberation Sans"/>
                <w:b w:val="0"/>
                <w:sz w:val="12"/>
              </w:rPr>
              <w:t>SOC / Cybersecurity protection &amp; defense</w:t>
            </w:r>
          </w:p>
        </w:tc>
        <w:tc>
          <w:tcPr>
            <w:tcW w:type="dxa" w:w="3384"/>
            <w:vAlign w:val="top"/>
            <w:shd w:fill="F2F6FA"/>
          </w:tcPr>
          <w:p>
            <w:pPr>
              <w:spacing w:after="0" w:line="240" w:lineRule="auto"/>
            </w:pPr>
            <w:r>
              <w:rPr>
                <w:rFonts w:ascii="Liberation Sans" w:hAnsi="Liberation Sans"/>
                <w:sz w:val="12"/>
              </w:rPr>
            </w:r>
            <w:r>
              <w:rPr>
                <w:rFonts w:ascii="Liberation Sans" w:hAnsi="Liberation Sans"/>
                <w:b w:val="0"/>
                <w:sz w:val="12"/>
              </w:rPr>
              <w:t>Sécurité IT/OT, incidents, protection données et opérations</w:t>
            </w:r>
          </w:p>
        </w:tc>
        <w:tc>
          <w:tcPr>
            <w:tcW w:type="dxa" w:w="1728"/>
            <w:vAlign w:val="top"/>
            <w:shd w:fill="F2F6FA"/>
          </w:tcPr>
          <w:p>
            <w:pPr>
              <w:spacing w:after="0" w:line="240" w:lineRule="auto"/>
            </w:pPr>
            <w:r>
              <w:rPr>
                <w:rFonts w:ascii="Liberation Sans" w:hAnsi="Liberation Sans"/>
                <w:sz w:val="12"/>
              </w:rPr>
            </w:r>
            <w:r>
              <w:rPr>
                <w:rFonts w:ascii="Liberation Sans" w:hAnsi="Liberation Sans"/>
                <w:b w:val="0"/>
                <w:sz w:val="12"/>
              </w:rPr>
              <w:t>Marseille / Puteaux selon offres</w:t>
            </w:r>
          </w:p>
        </w:tc>
        <w:tc>
          <w:tcPr>
            <w:tcW w:type="dxa" w:w="1152"/>
            <w:vAlign w:val="top"/>
            <w:shd w:fill="F2F6FA"/>
          </w:tcPr>
          <w:p>
            <w:pPr>
              <w:spacing w:after="0" w:line="240" w:lineRule="auto"/>
            </w:pPr>
            <w:r>
              <w:rPr>
                <w:rFonts w:ascii="Liberation Sans" w:hAnsi="Liberation Sans"/>
                <w:sz w:val="12"/>
              </w:rPr>
            </w:r>
            <w:r>
              <w:rPr>
                <w:rFonts w:ascii="Liberation Sans" w:hAnsi="Liberation Sans"/>
                <w:b w:val="0"/>
                <w:sz w:val="12"/>
              </w:rPr>
              <w:t>Déduit offres d'emploi</w:t>
            </w:r>
          </w:p>
        </w:tc>
        <w:tc>
          <w:tcPr>
            <w:tcW w:type="dxa" w:w="2736"/>
            <w:vAlign w:val="top"/>
            <w:shd w:fill="F2F6FA"/>
          </w:tcPr>
          <w:p>
            <w:pPr>
              <w:spacing w:after="0" w:line="240" w:lineRule="auto"/>
            </w:pPr>
            <w:r>
              <w:rPr>
                <w:rFonts w:ascii="Liberation Sans" w:hAnsi="Liberation Sans"/>
                <w:sz w:val="12"/>
              </w:rPr>
            </w:r>
            <w:r>
              <w:rPr>
                <w:rFonts w:ascii="Liberation Sans" w:hAnsi="Liberation Sans"/>
                <w:b w:val="0"/>
                <w:sz w:val="12"/>
              </w:rPr>
              <w:t>Entrée par Direction IT / Cyber</w:t>
            </w:r>
          </w:p>
        </w:tc>
      </w:tr>
    </w:tbl>
    <w:p/>
    <w:p>
      <w:pPr>
        <w:pStyle w:val="Heading2"/>
      </w:pPr>
      <w:r>
        <w:rPr>
          <w:rFonts w:ascii="Liberation Sans" w:hAnsi="Liberation Sans"/>
          <w:color w:val="1F4E79"/>
          <w:sz w:val="28"/>
        </w:rPr>
        <w:t>4.1 Matrice pouvoir / intérêt</w:t>
      </w:r>
    </w:p>
    <w:tbl>
      <w:tblPr>
        <w:tblStyle w:val="TableGrid"/>
        <w:tblW w:type="auto" w:w="0"/>
        <w:jc w:val="center"/>
        <w:tblLayout w:type="fixed"/>
        <w:tblLook w:firstColumn="1" w:firstRow="1" w:lastColumn="0" w:lastRow="0" w:noHBand="0" w:noVBand="1" w:val="04A0"/>
      </w:tblPr>
      <w:tblGrid>
        <w:gridCol w:w="3926"/>
        <w:gridCol w:w="3926"/>
        <w:gridCol w:w="3926"/>
        <w:gridCol w:w="3926"/>
      </w:tblGrid>
      <w:tr>
        <w:trPr>
          <w:tblHeader w:val="true"/>
        </w:trPr>
        <w:tc>
          <w:tcPr>
            <w:tcW w:type="dxa" w:w="2304"/>
            <w:vAlign w:val="top"/>
            <w:shd w:fill="1F4E79"/>
          </w:tcPr>
          <w:p>
            <w:pPr>
              <w:spacing w:after="0" w:line="240" w:lineRule="auto"/>
            </w:pPr>
            <w:r>
              <w:rPr>
                <w:rFonts w:ascii="Liberation Sans" w:hAnsi="Liberation Sans"/>
                <w:b/>
                <w:color w:val="FFFFFF"/>
                <w:sz w:val="14"/>
              </w:rPr>
            </w:r>
            <w:r>
              <w:rPr>
                <w:rFonts w:ascii="Liberation Sans" w:hAnsi="Liberation Sans"/>
                <w:b/>
                <w:color w:val="FFFFFF"/>
                <w:sz w:val="14"/>
              </w:rPr>
              <w:t>Catégorie</w:t>
            </w:r>
          </w:p>
        </w:tc>
        <w:tc>
          <w:tcPr>
            <w:tcW w:type="dxa" w:w="2880"/>
            <w:vAlign w:val="top"/>
            <w:shd w:fill="1F4E79"/>
          </w:tcPr>
          <w:p>
            <w:pPr>
              <w:spacing w:after="0" w:line="240" w:lineRule="auto"/>
            </w:pPr>
            <w:r>
              <w:rPr>
                <w:rFonts w:ascii="Liberation Sans" w:hAnsi="Liberation Sans"/>
                <w:b/>
                <w:color w:val="FFFFFF"/>
                <w:sz w:val="14"/>
              </w:rPr>
            </w:r>
            <w:r>
              <w:rPr>
                <w:rFonts w:ascii="Liberation Sans" w:hAnsi="Liberation Sans"/>
                <w:b/>
                <w:color w:val="FFFFFF"/>
                <w:sz w:val="14"/>
              </w:rPr>
              <w:t>Acteurs</w:t>
            </w:r>
          </w:p>
        </w:tc>
        <w:tc>
          <w:tcPr>
            <w:tcW w:type="dxa" w:w="4320"/>
            <w:vAlign w:val="top"/>
            <w:shd w:fill="1F4E79"/>
          </w:tcPr>
          <w:p>
            <w:pPr>
              <w:spacing w:after="0" w:line="240" w:lineRule="auto"/>
            </w:pPr>
            <w:r>
              <w:rPr>
                <w:rFonts w:ascii="Liberation Sans" w:hAnsi="Liberation Sans"/>
                <w:b/>
                <w:color w:val="FFFFFF"/>
                <w:sz w:val="14"/>
              </w:rPr>
            </w:r>
            <w:r>
              <w:rPr>
                <w:rFonts w:ascii="Liberation Sans" w:hAnsi="Liberation Sans"/>
                <w:b/>
                <w:color w:val="FFFFFF"/>
                <w:sz w:val="14"/>
              </w:rPr>
              <w:t>Pourquoi ils comptent</w:t>
            </w:r>
          </w:p>
        </w:tc>
        <w:tc>
          <w:tcPr>
            <w:tcW w:type="dxa" w:w="4176"/>
            <w:vAlign w:val="top"/>
            <w:shd w:fill="1F4E79"/>
          </w:tcPr>
          <w:p>
            <w:pPr>
              <w:spacing w:after="0" w:line="240" w:lineRule="auto"/>
            </w:pPr>
            <w:r>
              <w:rPr>
                <w:rFonts w:ascii="Liberation Sans" w:hAnsi="Liberation Sans"/>
                <w:b/>
                <w:color w:val="FFFFFF"/>
                <w:sz w:val="14"/>
              </w:rPr>
            </w:r>
            <w:r>
              <w:rPr>
                <w:rFonts w:ascii="Liberation Sans" w:hAnsi="Liberation Sans"/>
                <w:b/>
                <w:color w:val="FFFFFF"/>
                <w:sz w:val="14"/>
              </w:rPr>
              <w:t>Action commerciale</w:t>
            </w:r>
          </w:p>
        </w:tc>
      </w:tr>
      <w:tr>
        <w:tc>
          <w:tcPr>
            <w:tcW w:type="dxa" w:w="2304"/>
            <w:vAlign w:val="top"/>
          </w:tcPr>
          <w:p>
            <w:pPr>
              <w:spacing w:after="0" w:line="240" w:lineRule="auto"/>
            </w:pPr>
            <w:r>
              <w:rPr>
                <w:rFonts w:ascii="Liberation Sans" w:hAnsi="Liberation Sans"/>
                <w:sz w:val="13"/>
              </w:rPr>
            </w:r>
            <w:r>
              <w:rPr>
                <w:rFonts w:ascii="Liberation Sans" w:hAnsi="Liberation Sans"/>
                <w:b w:val="0"/>
                <w:sz w:val="13"/>
              </w:rPr>
              <w:t>Très haut pouvoir / très fort intérêt</w:t>
            </w:r>
          </w:p>
        </w:tc>
        <w:tc>
          <w:tcPr>
            <w:tcW w:type="dxa" w:w="2880"/>
            <w:vAlign w:val="top"/>
          </w:tcPr>
          <w:p>
            <w:pPr>
              <w:spacing w:after="0" w:line="240" w:lineRule="auto"/>
            </w:pPr>
            <w:r>
              <w:rPr>
                <w:rFonts w:ascii="Liberation Sans" w:hAnsi="Liberation Sans"/>
                <w:sz w:val="13"/>
              </w:rPr>
            </w:r>
            <w:r>
              <w:rPr>
                <w:rFonts w:ascii="Liberation Sans" w:hAnsi="Liberation Sans"/>
                <w:b w:val="0"/>
                <w:sz w:val="13"/>
              </w:rPr>
              <w:t>Rodolphe Saadé, Marlène Dolveck, Louis Schmidtlin, Ramon Fernandez, Nadine Jaudet</w:t>
            </w:r>
          </w:p>
        </w:tc>
        <w:tc>
          <w:tcPr>
            <w:tcW w:type="dxa" w:w="4320"/>
            <w:vAlign w:val="top"/>
          </w:tcPr>
          <w:p>
            <w:pPr>
              <w:spacing w:after="0" w:line="240" w:lineRule="auto"/>
            </w:pPr>
            <w:r>
              <w:rPr>
                <w:rFonts w:ascii="Liberation Sans" w:hAnsi="Liberation Sans"/>
                <w:sz w:val="13"/>
              </w:rPr>
            </w:r>
            <w:r>
              <w:rPr>
                <w:rFonts w:ascii="Liberation Sans" w:hAnsi="Liberation Sans"/>
                <w:b w:val="0"/>
                <w:sz w:val="13"/>
              </w:rPr>
              <w:t>Créer un narratif stratégique : performance, risque, IA, achats, intégration groupe.</w:t>
            </w:r>
          </w:p>
        </w:tc>
        <w:tc>
          <w:tcPr>
            <w:tcW w:type="dxa" w:w="4176"/>
            <w:vAlign w:val="top"/>
          </w:tcPr>
          <w:p>
            <w:pPr>
              <w:spacing w:after="0" w:line="240" w:lineRule="auto"/>
            </w:pPr>
            <w:r>
              <w:rPr>
                <w:rFonts w:ascii="Liberation Sans" w:hAnsi="Liberation Sans"/>
                <w:sz w:val="13"/>
              </w:rPr>
            </w:r>
            <w:r>
              <w:rPr>
                <w:rFonts w:ascii="Liberation Sans" w:hAnsi="Liberation Sans"/>
                <w:b w:val="0"/>
                <w:sz w:val="13"/>
              </w:rPr>
              <w:t>Ciblage exécutif avec note de valeur courte et preuve métier.</w:t>
            </w:r>
          </w:p>
        </w:tc>
      </w:tr>
      <w:tr>
        <w:tc>
          <w:tcPr>
            <w:tcW w:type="dxa" w:w="2304"/>
            <w:vAlign w:val="top"/>
            <w:shd w:fill="F2F6FA"/>
          </w:tcPr>
          <w:p>
            <w:pPr>
              <w:spacing w:after="0" w:line="240" w:lineRule="auto"/>
            </w:pPr>
            <w:r>
              <w:rPr>
                <w:rFonts w:ascii="Liberation Sans" w:hAnsi="Liberation Sans"/>
                <w:sz w:val="13"/>
              </w:rPr>
            </w:r>
            <w:r>
              <w:rPr>
                <w:rFonts w:ascii="Liberation Sans" w:hAnsi="Liberation Sans"/>
                <w:b w:val="0"/>
                <w:sz w:val="13"/>
              </w:rPr>
              <w:t>Fort pouvoir / intérêt variable</w:t>
            </w:r>
          </w:p>
        </w:tc>
        <w:tc>
          <w:tcPr>
            <w:tcW w:type="dxa" w:w="2880"/>
            <w:vAlign w:val="top"/>
            <w:shd w:fill="F2F6FA"/>
          </w:tcPr>
          <w:p>
            <w:pPr>
              <w:spacing w:after="0" w:line="240" w:lineRule="auto"/>
            </w:pPr>
            <w:r>
              <w:rPr>
                <w:rFonts w:ascii="Liberation Sans" w:hAnsi="Liberation Sans"/>
                <w:sz w:val="13"/>
              </w:rPr>
            </w:r>
            <w:r>
              <w:rPr>
                <w:rFonts w:ascii="Liberation Sans" w:hAnsi="Liberation Sans"/>
                <w:b w:val="0"/>
                <w:sz w:val="13"/>
              </w:rPr>
              <w:t>Tanya Saadé Zeenny, directions BU shipping / CEVA / terminals, directions pays</w:t>
            </w:r>
          </w:p>
        </w:tc>
        <w:tc>
          <w:tcPr>
            <w:tcW w:type="dxa" w:w="4320"/>
            <w:vAlign w:val="top"/>
            <w:shd w:fill="F2F6FA"/>
          </w:tcPr>
          <w:p>
            <w:pPr>
              <w:spacing w:after="0" w:line="240" w:lineRule="auto"/>
            </w:pPr>
            <w:r>
              <w:rPr>
                <w:rFonts w:ascii="Liberation Sans" w:hAnsi="Liberation Sans"/>
                <w:sz w:val="13"/>
              </w:rPr>
            </w:r>
            <w:r>
              <w:rPr>
                <w:rFonts w:ascii="Liberation Sans" w:hAnsi="Liberation Sans"/>
                <w:b w:val="0"/>
                <w:sz w:val="13"/>
              </w:rPr>
              <w:t>Influence sur priorités, sponsorship, accès interne.</w:t>
            </w:r>
          </w:p>
        </w:tc>
        <w:tc>
          <w:tcPr>
            <w:tcW w:type="dxa" w:w="4176"/>
            <w:vAlign w:val="top"/>
            <w:shd w:fill="F2F6FA"/>
          </w:tcPr>
          <w:p>
            <w:pPr>
              <w:spacing w:after="0" w:line="240" w:lineRule="auto"/>
            </w:pPr>
            <w:r>
              <w:rPr>
                <w:rFonts w:ascii="Liberation Sans" w:hAnsi="Liberation Sans"/>
                <w:sz w:val="13"/>
              </w:rPr>
            </w:r>
            <w:r>
              <w:rPr>
                <w:rFonts w:ascii="Liberation Sans" w:hAnsi="Liberation Sans"/>
                <w:b w:val="0"/>
                <w:sz w:val="13"/>
              </w:rPr>
              <w:t>Travailler le réseau et les points d'appui internes.</w:t>
            </w:r>
          </w:p>
        </w:tc>
      </w:tr>
      <w:tr>
        <w:tc>
          <w:tcPr>
            <w:tcW w:type="dxa" w:w="2304"/>
            <w:vAlign w:val="top"/>
          </w:tcPr>
          <w:p>
            <w:pPr>
              <w:spacing w:after="0" w:line="240" w:lineRule="auto"/>
            </w:pPr>
            <w:r>
              <w:rPr>
                <w:rFonts w:ascii="Liberation Sans" w:hAnsi="Liberation Sans"/>
                <w:sz w:val="13"/>
              </w:rPr>
            </w:r>
            <w:r>
              <w:rPr>
                <w:rFonts w:ascii="Liberation Sans" w:hAnsi="Liberation Sans"/>
                <w:b w:val="0"/>
                <w:sz w:val="13"/>
              </w:rPr>
              <w:t>Pouvoir opérationnel / fort intérêt</w:t>
            </w:r>
          </w:p>
        </w:tc>
        <w:tc>
          <w:tcPr>
            <w:tcW w:type="dxa" w:w="2880"/>
            <w:vAlign w:val="top"/>
          </w:tcPr>
          <w:p>
            <w:pPr>
              <w:spacing w:after="0" w:line="240" w:lineRule="auto"/>
            </w:pPr>
            <w:r>
              <w:rPr>
                <w:rFonts w:ascii="Liberation Sans" w:hAnsi="Liberation Sans"/>
                <w:sz w:val="13"/>
              </w:rPr>
            </w:r>
            <w:r>
              <w:rPr>
                <w:rFonts w:ascii="Liberation Sans" w:hAnsi="Liberation Sans"/>
                <w:b w:val="0"/>
                <w:sz w:val="13"/>
              </w:rPr>
              <w:t>Shipping CIO, Chief of Staff IT, procurement category managers, regional procurement, cyber managers</w:t>
            </w:r>
          </w:p>
        </w:tc>
        <w:tc>
          <w:tcPr>
            <w:tcW w:type="dxa" w:w="4320"/>
            <w:vAlign w:val="top"/>
          </w:tcPr>
          <w:p>
            <w:pPr>
              <w:spacing w:after="0" w:line="240" w:lineRule="auto"/>
            </w:pPr>
            <w:r>
              <w:rPr>
                <w:rFonts w:ascii="Liberation Sans" w:hAnsi="Liberation Sans"/>
                <w:sz w:val="13"/>
              </w:rPr>
            </w:r>
            <w:r>
              <w:rPr>
                <w:rFonts w:ascii="Liberation Sans" w:hAnsi="Liberation Sans"/>
                <w:b w:val="0"/>
                <w:sz w:val="13"/>
              </w:rPr>
              <w:t>Détiennent le besoin, la douleur, les contraintes et les critères d'achat.</w:t>
            </w:r>
          </w:p>
        </w:tc>
        <w:tc>
          <w:tcPr>
            <w:tcW w:type="dxa" w:w="4176"/>
            <w:vAlign w:val="top"/>
          </w:tcPr>
          <w:p>
            <w:pPr>
              <w:spacing w:after="0" w:line="240" w:lineRule="auto"/>
            </w:pPr>
            <w:r>
              <w:rPr>
                <w:rFonts w:ascii="Liberation Sans" w:hAnsi="Liberation Sans"/>
                <w:sz w:val="13"/>
              </w:rPr>
            </w:r>
            <w:r>
              <w:rPr>
                <w:rFonts w:ascii="Liberation Sans" w:hAnsi="Liberation Sans"/>
                <w:b w:val="0"/>
                <w:sz w:val="13"/>
              </w:rPr>
              <w:t>Ateliers ciblés, diagnostic, use cases chiffrés.</w:t>
            </w:r>
          </w:p>
        </w:tc>
      </w:tr>
      <w:tr>
        <w:tc>
          <w:tcPr>
            <w:tcW w:type="dxa" w:w="2304"/>
            <w:vAlign w:val="top"/>
            <w:shd w:fill="F2F6FA"/>
          </w:tcPr>
          <w:p>
            <w:pPr>
              <w:spacing w:after="0" w:line="240" w:lineRule="auto"/>
            </w:pPr>
            <w:r>
              <w:rPr>
                <w:rFonts w:ascii="Liberation Sans" w:hAnsi="Liberation Sans"/>
                <w:sz w:val="13"/>
              </w:rPr>
            </w:r>
            <w:r>
              <w:rPr>
                <w:rFonts w:ascii="Liberation Sans" w:hAnsi="Liberation Sans"/>
                <w:b w:val="0"/>
                <w:sz w:val="13"/>
              </w:rPr>
              <w:t>Influenceurs</w:t>
            </w:r>
          </w:p>
        </w:tc>
        <w:tc>
          <w:tcPr>
            <w:tcW w:type="dxa" w:w="2880"/>
            <w:vAlign w:val="top"/>
            <w:shd w:fill="F2F6FA"/>
          </w:tcPr>
          <w:p>
            <w:pPr>
              <w:spacing w:after="0" w:line="240" w:lineRule="auto"/>
            </w:pPr>
            <w:r>
              <w:rPr>
                <w:rFonts w:ascii="Liberation Sans" w:hAnsi="Liberation Sans"/>
                <w:sz w:val="13"/>
              </w:rPr>
            </w:r>
            <w:r>
              <w:rPr>
                <w:rFonts w:ascii="Liberation Sans" w:hAnsi="Liberation Sans"/>
                <w:b w:val="0"/>
                <w:sz w:val="13"/>
              </w:rPr>
              <w:t>Finance transformation, legal, compliance, risk, operational excellence, sustainability</w:t>
            </w:r>
          </w:p>
        </w:tc>
        <w:tc>
          <w:tcPr>
            <w:tcW w:type="dxa" w:w="4320"/>
            <w:vAlign w:val="top"/>
            <w:shd w:fill="F2F6FA"/>
          </w:tcPr>
          <w:p>
            <w:pPr>
              <w:spacing w:after="0" w:line="240" w:lineRule="auto"/>
            </w:pPr>
            <w:r>
              <w:rPr>
                <w:rFonts w:ascii="Liberation Sans" w:hAnsi="Liberation Sans"/>
                <w:sz w:val="13"/>
              </w:rPr>
            </w:r>
            <w:r>
              <w:rPr>
                <w:rFonts w:ascii="Liberation Sans" w:hAnsi="Liberation Sans"/>
                <w:b w:val="0"/>
                <w:sz w:val="13"/>
              </w:rPr>
              <w:t>Valident les risques, ROI, conformité et robustesse.</w:t>
            </w:r>
          </w:p>
        </w:tc>
        <w:tc>
          <w:tcPr>
            <w:tcW w:type="dxa" w:w="4176"/>
            <w:vAlign w:val="top"/>
            <w:shd w:fill="F2F6FA"/>
          </w:tcPr>
          <w:p>
            <w:pPr>
              <w:spacing w:after="0" w:line="240" w:lineRule="auto"/>
            </w:pPr>
            <w:r>
              <w:rPr>
                <w:rFonts w:ascii="Liberation Sans" w:hAnsi="Liberation Sans"/>
                <w:sz w:val="13"/>
              </w:rPr>
            </w:r>
            <w:r>
              <w:rPr>
                <w:rFonts w:ascii="Liberation Sans" w:hAnsi="Liberation Sans"/>
                <w:b w:val="0"/>
                <w:sz w:val="13"/>
              </w:rPr>
              <w:t>Les associer tôt dans les opportunités complexes.</w:t>
            </w:r>
          </w:p>
        </w:tc>
      </w:tr>
    </w:tbl>
    <w:p/>
    <w:p>
      <w:pPr>
        <w:sectPr>
          <w:pgSz w:w="16838" w:h="11906" w:orient="landscape"/>
          <w:pgMar w:top="680" w:right="567" w:bottom="680" w:left="567" w:header="720" w:footer="720" w:gutter="0"/>
          <w:cols w:space="720"/>
          <w:docGrid w:linePitch="360"/>
        </w:sectPr>
      </w:pPr>
    </w:p>
    <w:p>
      <w:pPr>
        <w:pStyle w:val="Heading1"/>
      </w:pPr>
      <w:r>
        <w:rPr>
          <w:rFonts w:ascii="Liberation Sans" w:hAnsi="Liberation Sans"/>
          <w:color w:val="0B1F3A"/>
          <w:sz w:val="36"/>
        </w:rPr>
        <w:t>5. Sites clés et points d'entrée</w:t>
      </w:r>
    </w:p>
    <w:p>
      <w:pPr>
        <w:spacing w:after="100"/>
      </w:pPr>
      <w:r>
        <w:rPr>
          <w:rFonts w:ascii="Liberation Sans" w:hAnsi="Liberation Sans"/>
          <w:sz w:val="16"/>
        </w:rPr>
        <w:t>Les sites ci-dessous sont ceux à prioriser pour une stratégie de compte en France et en Amérique du Nord. Les sites pays non listés sont nombreux ; le document se concentre sur les implantations les plus utiles pour initier ou structurer la relation.</w:t>
      </w:r>
    </w:p>
    <w:tbl>
      <w:tblPr>
        <w:tblStyle w:val="TableGrid"/>
        <w:tblW w:type="auto" w:w="0"/>
        <w:jc w:val="center"/>
        <w:tblLayout w:type="fixed"/>
        <w:tblLook w:firstColumn="1" w:firstRow="1" w:lastColumn="0" w:lastRow="0" w:noHBand="0" w:noVBand="1" w:val="04A0"/>
      </w:tblPr>
      <w:tblGrid>
        <w:gridCol w:w="2617"/>
        <w:gridCol w:w="2617"/>
        <w:gridCol w:w="2617"/>
        <w:gridCol w:w="2617"/>
        <w:gridCol w:w="2617"/>
        <w:gridCol w:w="2617"/>
      </w:tblGrid>
      <w:tr>
        <w:trPr>
          <w:tblHeader w:val="true"/>
        </w:trPr>
        <w:tc>
          <w:tcPr>
            <w:tcW w:type="dxa" w:w="1728"/>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Site</w:t>
            </w:r>
          </w:p>
        </w:tc>
        <w:tc>
          <w:tcPr>
            <w:tcW w:type="dxa" w:w="3096"/>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Adresse</w:t>
            </w:r>
          </w:p>
        </w:tc>
        <w:tc>
          <w:tcPr>
            <w:tcW w:type="dxa" w:w="3024"/>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Coordonnées publiques</w:t>
            </w:r>
          </w:p>
        </w:tc>
        <w:tc>
          <w:tcPr>
            <w:tcW w:type="dxa" w:w="3240"/>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Fonctions probables</w:t>
            </w:r>
          </w:p>
        </w:tc>
        <w:tc>
          <w:tcPr>
            <w:tcW w:type="dxa" w:w="3024"/>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Intérêt commercial</w:t>
            </w:r>
          </w:p>
        </w:tc>
        <w:tc>
          <w:tcPr>
            <w:tcW w:type="dxa" w:w="1224"/>
            <w:vAlign w:val="top"/>
            <w:shd w:fill="0B1F3A"/>
          </w:tcPr>
          <w:p>
            <w:pPr>
              <w:spacing w:after="0" w:line="240" w:lineRule="auto"/>
            </w:pPr>
            <w:r>
              <w:rPr>
                <w:rFonts w:ascii="Liberation Sans" w:hAnsi="Liberation Sans"/>
                <w:b/>
                <w:color w:val="FFFFFF"/>
                <w:sz w:val="13"/>
              </w:rPr>
            </w:r>
            <w:r>
              <w:rPr>
                <w:rFonts w:ascii="Liberation Sans" w:hAnsi="Liberation Sans"/>
                <w:b/>
                <w:color w:val="FFFFFF"/>
                <w:sz w:val="13"/>
              </w:rPr>
              <w:t>Source</w:t>
            </w:r>
          </w:p>
        </w:tc>
      </w:tr>
      <w:tr>
        <w:tc>
          <w:tcPr>
            <w:tcW w:type="dxa" w:w="1728"/>
            <w:vAlign w:val="top"/>
          </w:tcPr>
          <w:p>
            <w:pPr>
              <w:spacing w:after="0" w:line="240" w:lineRule="auto"/>
            </w:pPr>
            <w:r>
              <w:rPr>
                <w:rFonts w:ascii="Liberation Sans" w:hAnsi="Liberation Sans"/>
                <w:sz w:val="13"/>
              </w:rPr>
            </w:r>
            <w:r>
              <w:rPr>
                <w:rFonts w:ascii="Liberation Sans" w:hAnsi="Liberation Sans"/>
                <w:b w:val="0"/>
                <w:sz w:val="13"/>
              </w:rPr>
              <w:t>Marseille - Siège social</w:t>
            </w:r>
          </w:p>
        </w:tc>
        <w:tc>
          <w:tcPr>
            <w:tcW w:type="dxa" w:w="3096"/>
            <w:vAlign w:val="top"/>
          </w:tcPr>
          <w:p>
            <w:pPr>
              <w:spacing w:after="0" w:line="240" w:lineRule="auto"/>
            </w:pPr>
            <w:r>
              <w:rPr>
                <w:rFonts w:ascii="Liberation Sans" w:hAnsi="Liberation Sans"/>
                <w:sz w:val="13"/>
              </w:rPr>
            </w:r>
            <w:r>
              <w:rPr>
                <w:rFonts w:ascii="Liberation Sans" w:hAnsi="Liberation Sans"/>
                <w:b w:val="0"/>
                <w:sz w:val="13"/>
              </w:rPr>
              <w:t>Tour CMA CGM, Boulevard Jacques Saadé, 4 quai d'Arenc, 13002 / 13235 Marseille Cedex 02</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+33 (0)4 88 91 90 00</w:t>
            </w:r>
          </w:p>
        </w:tc>
        <w:tc>
          <w:tcPr>
            <w:tcW w:type="dxa" w:w="3240"/>
            <w:vAlign w:val="top"/>
          </w:tcPr>
          <w:p>
            <w:pPr>
              <w:spacing w:after="0" w:line="240" w:lineRule="auto"/>
            </w:pPr>
            <w:r>
              <w:rPr>
                <w:rFonts w:ascii="Liberation Sans" w:hAnsi="Liberation Sans"/>
                <w:sz w:val="13"/>
              </w:rPr>
            </w:r>
            <w:r>
              <w:rPr>
                <w:rFonts w:ascii="Liberation Sans" w:hAnsi="Liberation Sans"/>
                <w:b w:val="0"/>
                <w:sz w:val="13"/>
              </w:rPr>
              <w:t>Présidence, corporate, IT groupe, achats groupe, finance, risk, shipping, transformation</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Point d'entrée prioritaire pour sujets stratégiques</w:t>
            </w:r>
          </w:p>
        </w:tc>
        <w:tc>
          <w:tcPr>
            <w:tcW w:type="dxa" w:w="1224"/>
            <w:vAlign w:val="top"/>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shd w:fill="F2F6FA"/>
          </w:tcPr>
          <w:p>
            <w:pPr>
              <w:spacing w:after="0" w:line="240" w:lineRule="auto"/>
            </w:pPr>
            <w:r>
              <w:rPr>
                <w:rFonts w:ascii="Liberation Sans" w:hAnsi="Liberation Sans"/>
                <w:sz w:val="13"/>
              </w:rPr>
            </w:r>
            <w:r>
              <w:rPr>
                <w:rFonts w:ascii="Liberation Sans" w:hAnsi="Liberation Sans"/>
                <w:b w:val="0"/>
                <w:sz w:val="13"/>
              </w:rPr>
              <w:t>Le Havre</w:t>
            </w:r>
          </w:p>
        </w:tc>
        <w:tc>
          <w:tcPr>
            <w:tcW w:type="dxa" w:w="3096"/>
            <w:vAlign w:val="top"/>
            <w:shd w:fill="F2F6FA"/>
          </w:tcPr>
          <w:p>
            <w:pPr>
              <w:spacing w:after="0" w:line="240" w:lineRule="auto"/>
            </w:pPr>
            <w:r>
              <w:rPr>
                <w:rFonts w:ascii="Liberation Sans" w:hAnsi="Liberation Sans"/>
                <w:sz w:val="13"/>
              </w:rPr>
            </w:r>
            <w:r>
              <w:rPr>
                <w:rFonts w:ascii="Liberation Sans" w:hAnsi="Liberation Sans"/>
                <w:b w:val="0"/>
                <w:sz w:val="13"/>
              </w:rPr>
              <w:t>1 Quai Colbert, CS 67007, 76096 Cedex Le Havre</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+33 2 32 74 10 00 / lhv.agence@cma-cgm.com</w:t>
            </w:r>
          </w:p>
        </w:tc>
        <w:tc>
          <w:tcPr>
            <w:tcW w:type="dxa" w:w="3240"/>
            <w:vAlign w:val="top"/>
            <w:shd w:fill="F2F6FA"/>
          </w:tcPr>
          <w:p>
            <w:pPr>
              <w:spacing w:after="0" w:line="240" w:lineRule="auto"/>
            </w:pPr>
            <w:r>
              <w:rPr>
                <w:rFonts w:ascii="Liberation Sans" w:hAnsi="Liberation Sans"/>
                <w:sz w:val="13"/>
              </w:rPr>
            </w:r>
            <w:r>
              <w:rPr>
                <w:rFonts w:ascii="Liberation Sans" w:hAnsi="Liberation Sans"/>
                <w:b w:val="0"/>
                <w:sz w:val="13"/>
              </w:rPr>
              <w:t>Agence maritime, opérations portuaires, customer service, flux export/import</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Utile pour cas d'usage opérationnels et documentation</w:t>
            </w:r>
          </w:p>
        </w:tc>
        <w:tc>
          <w:tcPr>
            <w:tcW w:type="dxa" w:w="1224"/>
            <w:vAlign w:val="top"/>
            <w:shd w:fill="F2F6FA"/>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tcPr>
          <w:p>
            <w:pPr>
              <w:spacing w:after="0" w:line="240" w:lineRule="auto"/>
            </w:pPr>
            <w:r>
              <w:rPr>
                <w:rFonts w:ascii="Liberation Sans" w:hAnsi="Liberation Sans"/>
                <w:sz w:val="13"/>
              </w:rPr>
            </w:r>
            <w:r>
              <w:rPr>
                <w:rFonts w:ascii="Liberation Sans" w:hAnsi="Liberation Sans"/>
                <w:b w:val="0"/>
                <w:sz w:val="13"/>
              </w:rPr>
              <w:t>Dunkerque</w:t>
            </w:r>
          </w:p>
        </w:tc>
        <w:tc>
          <w:tcPr>
            <w:tcW w:type="dxa" w:w="3096"/>
            <w:vAlign w:val="top"/>
          </w:tcPr>
          <w:p>
            <w:pPr>
              <w:spacing w:after="0" w:line="240" w:lineRule="auto"/>
            </w:pPr>
            <w:r>
              <w:rPr>
                <w:rFonts w:ascii="Liberation Sans" w:hAnsi="Liberation Sans"/>
                <w:sz w:val="13"/>
              </w:rPr>
            </w:r>
            <w:r>
              <w:rPr>
                <w:rFonts w:ascii="Liberation Sans" w:hAnsi="Liberation Sans"/>
                <w:b w:val="0"/>
                <w:sz w:val="13"/>
              </w:rPr>
              <w:t>10 Quai de la Citadelle, 59140 Dunkerque</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+33 3 28 58 46 35</w:t>
            </w:r>
          </w:p>
        </w:tc>
        <w:tc>
          <w:tcPr>
            <w:tcW w:type="dxa" w:w="3240"/>
            <w:vAlign w:val="top"/>
          </w:tcPr>
          <w:p>
            <w:pPr>
              <w:spacing w:after="0" w:line="240" w:lineRule="auto"/>
            </w:pPr>
            <w:r>
              <w:rPr>
                <w:rFonts w:ascii="Liberation Sans" w:hAnsi="Liberation Sans"/>
                <w:sz w:val="13"/>
              </w:rPr>
            </w:r>
            <w:r>
              <w:rPr>
                <w:rFonts w:ascii="Liberation Sans" w:hAnsi="Liberation Sans"/>
                <w:b w:val="0"/>
                <w:sz w:val="13"/>
              </w:rPr>
              <w:t>Agence portuaire / opérations locales</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À adresser via agences France pour sujets portuaires Nord</w:t>
            </w:r>
          </w:p>
        </w:tc>
        <w:tc>
          <w:tcPr>
            <w:tcW w:type="dxa" w:w="1224"/>
            <w:vAlign w:val="top"/>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shd w:fill="F2F6FA"/>
          </w:tcPr>
          <w:p>
            <w:pPr>
              <w:spacing w:after="0" w:line="240" w:lineRule="auto"/>
            </w:pPr>
            <w:r>
              <w:rPr>
                <w:rFonts w:ascii="Liberation Sans" w:hAnsi="Liberation Sans"/>
                <w:sz w:val="13"/>
              </w:rPr>
            </w:r>
            <w:r>
              <w:rPr>
                <w:rFonts w:ascii="Liberation Sans" w:hAnsi="Liberation Sans"/>
                <w:b w:val="0"/>
                <w:sz w:val="13"/>
              </w:rPr>
              <w:t>Montoir-de-Bretagne</w:t>
            </w:r>
          </w:p>
        </w:tc>
        <w:tc>
          <w:tcPr>
            <w:tcW w:type="dxa" w:w="3096"/>
            <w:vAlign w:val="top"/>
            <w:shd w:fill="F2F6FA"/>
          </w:tcPr>
          <w:p>
            <w:pPr>
              <w:spacing w:after="0" w:line="240" w:lineRule="auto"/>
            </w:pPr>
            <w:r>
              <w:rPr>
                <w:rFonts w:ascii="Liberation Sans" w:hAnsi="Liberation Sans"/>
                <w:sz w:val="13"/>
              </w:rPr>
            </w:r>
            <w:r>
              <w:rPr>
                <w:rFonts w:ascii="Liberation Sans" w:hAnsi="Liberation Sans"/>
                <w:b w:val="0"/>
                <w:sz w:val="13"/>
              </w:rPr>
              <w:t>ZAC de Cadréan, Zone Icare, Bâtiment E, 44550 Montoir-de-Bretagne</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+33 2 40 45 85 70 / mrg.agence@cma-cgm.com</w:t>
            </w:r>
          </w:p>
        </w:tc>
        <w:tc>
          <w:tcPr>
            <w:tcW w:type="dxa" w:w="3240"/>
            <w:vAlign w:val="top"/>
            <w:shd w:fill="F2F6FA"/>
          </w:tcPr>
          <w:p>
            <w:pPr>
              <w:spacing w:after="0" w:line="240" w:lineRule="auto"/>
            </w:pPr>
            <w:r>
              <w:rPr>
                <w:rFonts w:ascii="Liberation Sans" w:hAnsi="Liberation Sans"/>
                <w:sz w:val="13"/>
              </w:rPr>
            </w:r>
            <w:r>
              <w:rPr>
                <w:rFonts w:ascii="Liberation Sans" w:hAnsi="Liberation Sans"/>
                <w:b w:val="0"/>
                <w:sz w:val="13"/>
              </w:rPr>
              <w:t>Agence / portuaire / opérations Ouest</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Point d'entrée régional pour flux Atlantique</w:t>
            </w:r>
          </w:p>
        </w:tc>
        <w:tc>
          <w:tcPr>
            <w:tcW w:type="dxa" w:w="1224"/>
            <w:vAlign w:val="top"/>
            <w:shd w:fill="F2F6FA"/>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tcPr>
          <w:p>
            <w:pPr>
              <w:spacing w:after="0" w:line="240" w:lineRule="auto"/>
            </w:pPr>
            <w:r>
              <w:rPr>
                <w:rFonts w:ascii="Liberation Sans" w:hAnsi="Liberation Sans"/>
                <w:sz w:val="13"/>
              </w:rPr>
            </w:r>
            <w:r>
              <w:rPr>
                <w:rFonts w:ascii="Liberation Sans" w:hAnsi="Liberation Sans"/>
                <w:b w:val="0"/>
                <w:sz w:val="13"/>
              </w:rPr>
              <w:t>Courbevoie / Paris</w:t>
            </w:r>
          </w:p>
        </w:tc>
        <w:tc>
          <w:tcPr>
            <w:tcW w:type="dxa" w:w="3096"/>
            <w:vAlign w:val="top"/>
          </w:tcPr>
          <w:p>
            <w:pPr>
              <w:spacing w:after="0" w:line="240" w:lineRule="auto"/>
            </w:pPr>
            <w:r>
              <w:rPr>
                <w:rFonts w:ascii="Liberation Sans" w:hAnsi="Liberation Sans"/>
                <w:sz w:val="13"/>
              </w:rPr>
            </w:r>
            <w:r>
              <w:rPr>
                <w:rFonts w:ascii="Liberation Sans" w:hAnsi="Liberation Sans"/>
                <w:b w:val="0"/>
                <w:sz w:val="13"/>
              </w:rPr>
              <w:t>Tour EMBLEM, 7 allée de l'Arche, 92400 Courbevoie</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+33 1 57 98 06 10 / par.agence@cma-cgm.com</w:t>
            </w:r>
          </w:p>
        </w:tc>
        <w:tc>
          <w:tcPr>
            <w:tcW w:type="dxa" w:w="3240"/>
            <w:vAlign w:val="top"/>
          </w:tcPr>
          <w:p>
            <w:pPr>
              <w:spacing w:after="0" w:line="240" w:lineRule="auto"/>
            </w:pPr>
            <w:r>
              <w:rPr>
                <w:rFonts w:ascii="Liberation Sans" w:hAnsi="Liberation Sans"/>
                <w:sz w:val="13"/>
              </w:rPr>
            </w:r>
            <w:r>
              <w:rPr>
                <w:rFonts w:ascii="Liberation Sans" w:hAnsi="Liberation Sans"/>
                <w:b w:val="0"/>
                <w:sz w:val="13"/>
              </w:rPr>
              <w:t>Agence Paris, proximité La Défense, écosystème corporate / CEVA</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Utile pour relation Île-de-France et directions basées Paris</w:t>
            </w:r>
          </w:p>
        </w:tc>
        <w:tc>
          <w:tcPr>
            <w:tcW w:type="dxa" w:w="1224"/>
            <w:vAlign w:val="top"/>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shd w:fill="F2F6FA"/>
          </w:tcPr>
          <w:p>
            <w:pPr>
              <w:spacing w:after="0" w:line="240" w:lineRule="auto"/>
            </w:pPr>
            <w:r>
              <w:rPr>
                <w:rFonts w:ascii="Liberation Sans" w:hAnsi="Liberation Sans"/>
                <w:sz w:val="13"/>
              </w:rPr>
            </w:r>
            <w:r>
              <w:rPr>
                <w:rFonts w:ascii="Liberation Sans" w:hAnsi="Liberation Sans"/>
                <w:b w:val="0"/>
                <w:sz w:val="13"/>
              </w:rPr>
              <w:t>Norfolk - USA</w:t>
            </w:r>
          </w:p>
        </w:tc>
        <w:tc>
          <w:tcPr>
            <w:tcW w:type="dxa" w:w="3096"/>
            <w:vAlign w:val="top"/>
            <w:shd w:fill="F2F6FA"/>
          </w:tcPr>
          <w:p>
            <w:pPr>
              <w:spacing w:after="0" w:line="240" w:lineRule="auto"/>
            </w:pPr>
            <w:r>
              <w:rPr>
                <w:rFonts w:ascii="Liberation Sans" w:hAnsi="Liberation Sans"/>
                <w:sz w:val="13"/>
              </w:rPr>
            </w:r>
            <w:r>
              <w:rPr>
                <w:rFonts w:ascii="Liberation Sans" w:hAnsi="Liberation Sans"/>
                <w:b w:val="0"/>
                <w:sz w:val="13"/>
              </w:rPr>
              <w:t>1 CMA CGM Way, 23502 Norfolk, VA</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+1 757 961 2100</w:t>
            </w:r>
          </w:p>
        </w:tc>
        <w:tc>
          <w:tcPr>
            <w:tcW w:type="dxa" w:w="3240"/>
            <w:vAlign w:val="top"/>
            <w:shd w:fill="F2F6FA"/>
          </w:tcPr>
          <w:p>
            <w:pPr>
              <w:spacing w:after="0" w:line="240" w:lineRule="auto"/>
            </w:pPr>
            <w:r>
              <w:rPr>
                <w:rFonts w:ascii="Liberation Sans" w:hAnsi="Liberation Sans"/>
                <w:sz w:val="13"/>
              </w:rPr>
            </w:r>
            <w:r>
              <w:rPr>
                <w:rFonts w:ascii="Liberation Sans" w:hAnsi="Liberation Sans"/>
                <w:b w:val="0"/>
                <w:sz w:val="13"/>
              </w:rPr>
              <w:t>Headquarters CMA CGM America, achats North America, opérations régionales</w:t>
            </w:r>
          </w:p>
        </w:tc>
        <w:tc>
          <w:tcPr>
            <w:tcW w:type="dxa" w:w="3024"/>
            <w:vAlign w:val="top"/>
            <w:shd w:fill="F2F6FA"/>
          </w:tcPr>
          <w:p>
            <w:pPr>
              <w:spacing w:after="0" w:line="240" w:lineRule="auto"/>
            </w:pPr>
            <w:r>
              <w:rPr>
                <w:rFonts w:ascii="Liberation Sans" w:hAnsi="Liberation Sans"/>
                <w:sz w:val="13"/>
              </w:rPr>
            </w:r>
            <w:r>
              <w:rPr>
                <w:rFonts w:ascii="Liberation Sans" w:hAnsi="Liberation Sans"/>
                <w:b w:val="0"/>
                <w:sz w:val="13"/>
              </w:rPr>
              <w:t>Entrée clé pour stratégie États-Unis et Bob Basila</w:t>
            </w:r>
          </w:p>
        </w:tc>
        <w:tc>
          <w:tcPr>
            <w:tcW w:type="dxa" w:w="1224"/>
            <w:vAlign w:val="top"/>
            <w:shd w:fill="F2F6FA"/>
          </w:tcPr>
          <w:p>
            <w:pPr>
              <w:spacing w:after="0" w:line="240" w:lineRule="auto"/>
            </w:pPr>
            <w:r>
              <w:rPr>
                <w:rFonts w:ascii="Liberation Sans" w:hAnsi="Liberation Sans"/>
                <w:sz w:val="13"/>
              </w:rPr>
            </w:r>
            <w:r>
              <w:rPr>
                <w:rFonts w:ascii="Liberation Sans" w:hAnsi="Liberation Sans"/>
                <w:b w:val="0"/>
                <w:sz w:val="13"/>
              </w:rPr>
              <w:t>Officiel CMA CGM</w:t>
            </w:r>
          </w:p>
        </w:tc>
      </w:tr>
      <w:tr>
        <w:tc>
          <w:tcPr>
            <w:tcW w:type="dxa" w:w="1728"/>
            <w:vAlign w:val="top"/>
          </w:tcPr>
          <w:p>
            <w:pPr>
              <w:spacing w:after="0" w:line="240" w:lineRule="auto"/>
            </w:pPr>
            <w:r>
              <w:rPr>
                <w:rFonts w:ascii="Liberation Sans" w:hAnsi="Liberation Sans"/>
                <w:sz w:val="13"/>
              </w:rPr>
            </w:r>
            <w:r>
              <w:rPr>
                <w:rFonts w:ascii="Liberation Sans" w:hAnsi="Liberation Sans"/>
                <w:b w:val="0"/>
                <w:sz w:val="13"/>
              </w:rPr>
              <w:t>CEVA / réseau logistique</w:t>
            </w:r>
          </w:p>
        </w:tc>
        <w:tc>
          <w:tcPr>
            <w:tcW w:type="dxa" w:w="3096"/>
            <w:vAlign w:val="top"/>
          </w:tcPr>
          <w:p>
            <w:pPr>
              <w:spacing w:after="0" w:line="240" w:lineRule="auto"/>
            </w:pPr>
            <w:r>
              <w:rPr>
                <w:rFonts w:ascii="Liberation Sans" w:hAnsi="Liberation Sans"/>
                <w:sz w:val="13"/>
              </w:rPr>
            </w:r>
            <w:r>
              <w:rPr>
                <w:rFonts w:ascii="Liberation Sans" w:hAnsi="Liberation Sans"/>
                <w:b w:val="0"/>
                <w:sz w:val="13"/>
              </w:rPr>
              <w:t>Réseau mondial CEVA et entrepôts du groupe</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Via CEVA / CMA CGM corporate</w:t>
            </w:r>
          </w:p>
        </w:tc>
        <w:tc>
          <w:tcPr>
            <w:tcW w:type="dxa" w:w="3240"/>
            <w:vAlign w:val="top"/>
          </w:tcPr>
          <w:p>
            <w:pPr>
              <w:spacing w:after="0" w:line="240" w:lineRule="auto"/>
            </w:pPr>
            <w:r>
              <w:rPr>
                <w:rFonts w:ascii="Liberation Sans" w:hAnsi="Liberation Sans"/>
                <w:sz w:val="13"/>
              </w:rPr>
            </w:r>
            <w:r>
              <w:rPr>
                <w:rFonts w:ascii="Liberation Sans" w:hAnsi="Liberation Sans"/>
                <w:b w:val="0"/>
                <w:sz w:val="13"/>
              </w:rPr>
              <w:t>Contract logistics, freight management, warehousing, e-commerce</w:t>
            </w:r>
          </w:p>
        </w:tc>
        <w:tc>
          <w:tcPr>
            <w:tcW w:type="dxa" w:w="3024"/>
            <w:vAlign w:val="top"/>
          </w:tcPr>
          <w:p>
            <w:pPr>
              <w:spacing w:after="0" w:line="240" w:lineRule="auto"/>
            </w:pPr>
            <w:r>
              <w:rPr>
                <w:rFonts w:ascii="Liberation Sans" w:hAnsi="Liberation Sans"/>
                <w:sz w:val="13"/>
              </w:rPr>
            </w:r>
            <w:r>
              <w:rPr>
                <w:rFonts w:ascii="Liberation Sans" w:hAnsi="Liberation Sans"/>
                <w:b w:val="0"/>
                <w:sz w:val="13"/>
              </w:rPr>
              <w:t>Qualifier séparément car circuits de décision souvent spécifiques</w:t>
            </w:r>
          </w:p>
        </w:tc>
        <w:tc>
          <w:tcPr>
            <w:tcW w:type="dxa" w:w="1224"/>
            <w:vAlign w:val="top"/>
          </w:tcPr>
          <w:p>
            <w:pPr>
              <w:spacing w:after="0" w:line="240" w:lineRule="auto"/>
            </w:pPr>
            <w:r>
              <w:rPr>
                <w:rFonts w:ascii="Liberation Sans" w:hAnsi="Liberation Sans"/>
                <w:sz w:val="13"/>
              </w:rPr>
            </w:r>
            <w:r>
              <w:rPr>
                <w:rFonts w:ascii="Liberation Sans" w:hAnsi="Liberation Sans"/>
                <w:b w:val="0"/>
                <w:sz w:val="13"/>
              </w:rPr>
              <w:t>Public groupe</w:t>
            </w:r>
          </w:p>
        </w:tc>
      </w:tr>
    </w:tbl>
    <w:p/>
    <w:p>
      <w:pPr>
        <w:sectPr>
          <w:pgSz w:w="16838" w:h="11906" w:orient="landscape"/>
          <w:pgMar w:top="680" w:right="567" w:bottom="680" w:left="567" w:header="720" w:footer="720" w:gutter="0"/>
          <w:cols w:space="720"/>
          <w:docGrid w:linePitch="360"/>
        </w:sectPr>
      </w:pPr>
    </w:p>
    <w:p>
      <w:pPr>
        <w:pStyle w:val="Heading1"/>
      </w:pPr>
      <w:r>
        <w:rPr>
          <w:rFonts w:ascii="Liberation Sans" w:hAnsi="Liberation Sans"/>
          <w:color w:val="0B1F3A"/>
          <w:sz w:val="36"/>
        </w:rPr>
        <w:t>6. Focus DSI, digital, IA et cybersécurité</w:t>
      </w:r>
    </w:p>
    <w:p>
      <w:pPr>
        <w:spacing w:after="100"/>
      </w:pPr>
      <w:r>
        <w:rPr>
          <w:rFonts w:ascii="Liberation Sans" w:hAnsi="Liberation Sans"/>
          <w:sz w:val="19"/>
        </w:rPr>
        <w:t>La nomination de Marlène Dolveck à l'Executive Committee donne un signal clair : IT, digital transformation, IA, cybersécurité et R&amp;D groupe sont des sujets de direction générale. Les offres d'emploi publiques montrent également des rôles proches de l'exécutif IT à Marseille : Chief of Staff auprès de l'EVP IT / Digital / Cyber, Project Manager to Shipping CIO, architecture d'entreprise, data et SOC.</w:t>
      </w:r>
    </w:p>
    <w:tbl>
      <w:tblPr>
        <w:tblStyle w:val="TableGrid"/>
        <w:tblW w:type="auto" w:w="0"/>
        <w:jc w:val="center"/>
        <w:tblLayout w:type="fixed"/>
        <w:tblLook w:firstColumn="1" w:firstRow="1" w:lastColumn="0" w:lastRow="0" w:noHBand="0" w:noVBand="1" w:val="04A0"/>
      </w:tblPr>
      <w:tblGrid>
        <w:gridCol w:w="2579"/>
        <w:gridCol w:w="2579"/>
        <w:gridCol w:w="2579"/>
        <w:gridCol w:w="2579"/>
      </w:tblGrid>
      <w:tr>
        <w:trPr>
          <w:tblHeader w:val="true"/>
        </w:trPr>
        <w:tc>
          <w:tcPr>
            <w:tcW w:type="dxa" w:w="2448"/>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Bloc IT</w:t>
            </w:r>
          </w:p>
        </w:tc>
        <w:tc>
          <w:tcPr>
            <w:tcW w:type="dxa" w:w="2376"/>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Responsable public</w:t>
            </w:r>
          </w:p>
        </w:tc>
        <w:tc>
          <w:tcPr>
            <w:tcW w:type="dxa" w:w="1584"/>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Site probable</w:t>
            </w:r>
          </w:p>
        </w:tc>
        <w:tc>
          <w:tcPr>
            <w:tcW w:type="dxa" w:w="3096"/>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Angle de qualification</w:t>
            </w:r>
          </w:p>
        </w:tc>
      </w:tr>
      <w:tr>
        <w:tc>
          <w:tcPr>
            <w:tcW w:type="dxa" w:w="2448"/>
            <w:vAlign w:val="top"/>
          </w:tcPr>
          <w:p>
            <w:pPr>
              <w:spacing w:after="0" w:line="240" w:lineRule="auto"/>
            </w:pPr>
            <w:r>
              <w:rPr>
                <w:rFonts w:ascii="Liberation Sans" w:hAnsi="Liberation Sans"/>
                <w:sz w:val="16"/>
              </w:rPr>
            </w:r>
            <w:r>
              <w:rPr>
                <w:rFonts w:ascii="Liberation Sans" w:hAnsi="Liberation Sans"/>
                <w:b w:val="0"/>
                <w:sz w:val="16"/>
              </w:rPr>
              <w:t>Direction IT / Digital / AI / Cyber / R&amp;D</w:t>
            </w:r>
          </w:p>
        </w:tc>
        <w:tc>
          <w:tcPr>
            <w:tcW w:type="dxa" w:w="2376"/>
            <w:vAlign w:val="top"/>
          </w:tcPr>
          <w:p>
            <w:pPr>
              <w:spacing w:after="0" w:line="240" w:lineRule="auto"/>
            </w:pPr>
            <w:r>
              <w:rPr>
                <w:rFonts w:ascii="Liberation Sans" w:hAnsi="Liberation Sans"/>
                <w:sz w:val="16"/>
              </w:rPr>
            </w:r>
            <w:r>
              <w:rPr>
                <w:rFonts w:ascii="Liberation Sans" w:hAnsi="Liberation Sans"/>
                <w:b w:val="0"/>
                <w:sz w:val="16"/>
              </w:rPr>
              <w:t>Marlène Dolveck</w:t>
            </w:r>
          </w:p>
        </w:tc>
        <w:tc>
          <w:tcPr>
            <w:tcW w:type="dxa" w:w="1584"/>
            <w:vAlign w:val="top"/>
          </w:tcPr>
          <w:p>
            <w:pPr>
              <w:spacing w:after="0" w:line="240" w:lineRule="auto"/>
            </w:pPr>
            <w:r>
              <w:rPr>
                <w:rFonts w:ascii="Liberation Sans" w:hAnsi="Liberation Sans"/>
                <w:sz w:val="16"/>
              </w:rPr>
            </w:r>
            <w:r>
              <w:rPr>
                <w:rFonts w:ascii="Liberation Sans" w:hAnsi="Liberation Sans"/>
                <w:b w:val="0"/>
                <w:sz w:val="16"/>
              </w:rPr>
              <w:t>Marseille</w:t>
            </w:r>
          </w:p>
        </w:tc>
        <w:tc>
          <w:tcPr>
            <w:tcW w:type="dxa" w:w="3096"/>
            <w:vAlign w:val="top"/>
          </w:tcPr>
          <w:p>
            <w:pPr>
              <w:spacing w:after="0" w:line="240" w:lineRule="auto"/>
            </w:pPr>
            <w:r>
              <w:rPr>
                <w:rFonts w:ascii="Liberation Sans" w:hAnsi="Liberation Sans"/>
                <w:sz w:val="16"/>
              </w:rPr>
            </w:r>
            <w:r>
              <w:rPr>
                <w:rFonts w:ascii="Liberation Sans" w:hAnsi="Liberation Sans"/>
                <w:b w:val="0"/>
                <w:sz w:val="16"/>
              </w:rPr>
              <w:t>Gouvernance stratégique des programmes IT et IA</w:t>
            </w:r>
          </w:p>
        </w:tc>
      </w:tr>
      <w:tr>
        <w:tc>
          <w:tcPr>
            <w:tcW w:type="dxa" w:w="2448"/>
            <w:vAlign w:val="top"/>
            <w:shd w:fill="F2F6FA"/>
          </w:tcPr>
          <w:p>
            <w:pPr>
              <w:spacing w:after="0" w:line="240" w:lineRule="auto"/>
            </w:pPr>
            <w:r>
              <w:rPr>
                <w:rFonts w:ascii="Liberation Sans" w:hAnsi="Liberation Sans"/>
                <w:sz w:val="16"/>
              </w:rPr>
            </w:r>
            <w:r>
              <w:rPr>
                <w:rFonts w:ascii="Liberation Sans" w:hAnsi="Liberation Sans"/>
                <w:b w:val="0"/>
                <w:sz w:val="16"/>
              </w:rPr>
              <w:t>Shipping CIO</w:t>
            </w:r>
          </w:p>
        </w:tc>
        <w:tc>
          <w:tcPr>
            <w:tcW w:type="dxa" w:w="2376"/>
            <w:vAlign w:val="top"/>
            <w:shd w:fill="F2F6FA"/>
          </w:tcPr>
          <w:p>
            <w:pPr>
              <w:spacing w:after="0" w:line="240" w:lineRule="auto"/>
            </w:pPr>
            <w:r>
              <w:rPr>
                <w:rFonts w:ascii="Liberation Sans" w:hAnsi="Liberation Sans"/>
                <w:sz w:val="16"/>
              </w:rPr>
            </w:r>
            <w:r>
              <w:rPr>
                <w:rFonts w:ascii="Liberation Sans" w:hAnsi="Liberation Sans"/>
                <w:b w:val="0"/>
                <w:sz w:val="16"/>
              </w:rPr>
              <w:t>Nom non publié</w:t>
            </w:r>
          </w:p>
        </w:tc>
        <w:tc>
          <w:tcPr>
            <w:tcW w:type="dxa" w:w="1584"/>
            <w:vAlign w:val="top"/>
            <w:shd w:fill="F2F6FA"/>
          </w:tcPr>
          <w:p>
            <w:pPr>
              <w:spacing w:after="0" w:line="240" w:lineRule="auto"/>
            </w:pPr>
            <w:r>
              <w:rPr>
                <w:rFonts w:ascii="Liberation Sans" w:hAnsi="Liberation Sans"/>
                <w:sz w:val="16"/>
              </w:rPr>
            </w:r>
            <w:r>
              <w:rPr>
                <w:rFonts w:ascii="Liberation Sans" w:hAnsi="Liberation Sans"/>
                <w:b w:val="0"/>
                <w:sz w:val="16"/>
              </w:rPr>
              <w:t>Marseille</w:t>
            </w:r>
          </w:p>
        </w:tc>
        <w:tc>
          <w:tcPr>
            <w:tcW w:type="dxa" w:w="3096"/>
            <w:vAlign w:val="top"/>
            <w:shd w:fill="F2F6FA"/>
          </w:tcPr>
          <w:p>
            <w:pPr>
              <w:spacing w:after="0" w:line="240" w:lineRule="auto"/>
            </w:pPr>
            <w:r>
              <w:rPr>
                <w:rFonts w:ascii="Liberation Sans" w:hAnsi="Liberation Sans"/>
                <w:sz w:val="16"/>
              </w:rPr>
            </w:r>
            <w:r>
              <w:rPr>
                <w:rFonts w:ascii="Liberation Sans" w:hAnsi="Liberation Sans"/>
                <w:b w:val="0"/>
                <w:sz w:val="16"/>
              </w:rPr>
              <w:t>Applications et transformation du domaine shipping</w:t>
            </w:r>
          </w:p>
        </w:tc>
      </w:tr>
      <w:tr>
        <w:tc>
          <w:tcPr>
            <w:tcW w:type="dxa" w:w="2448"/>
            <w:vAlign w:val="top"/>
          </w:tcPr>
          <w:p>
            <w:pPr>
              <w:spacing w:after="0" w:line="240" w:lineRule="auto"/>
            </w:pPr>
            <w:r>
              <w:rPr>
                <w:rFonts w:ascii="Liberation Sans" w:hAnsi="Liberation Sans"/>
                <w:sz w:val="16"/>
              </w:rPr>
            </w:r>
            <w:r>
              <w:rPr>
                <w:rFonts w:ascii="Liberation Sans" w:hAnsi="Liberation Sans"/>
                <w:b w:val="0"/>
                <w:sz w:val="16"/>
              </w:rPr>
              <w:t>Chief of Staff IT</w:t>
            </w:r>
          </w:p>
        </w:tc>
        <w:tc>
          <w:tcPr>
            <w:tcW w:type="dxa" w:w="2376"/>
            <w:vAlign w:val="top"/>
          </w:tcPr>
          <w:p>
            <w:pPr>
              <w:spacing w:after="0" w:line="240" w:lineRule="auto"/>
            </w:pPr>
            <w:r>
              <w:rPr>
                <w:rFonts w:ascii="Liberation Sans" w:hAnsi="Liberation Sans"/>
                <w:sz w:val="16"/>
              </w:rPr>
            </w:r>
            <w:r>
              <w:rPr>
                <w:rFonts w:ascii="Liberation Sans" w:hAnsi="Liberation Sans"/>
                <w:b w:val="0"/>
                <w:sz w:val="16"/>
              </w:rPr>
              <w:t>Nom non publié</w:t>
            </w:r>
          </w:p>
        </w:tc>
        <w:tc>
          <w:tcPr>
            <w:tcW w:type="dxa" w:w="1584"/>
            <w:vAlign w:val="top"/>
          </w:tcPr>
          <w:p>
            <w:pPr>
              <w:spacing w:after="0" w:line="240" w:lineRule="auto"/>
            </w:pPr>
            <w:r>
              <w:rPr>
                <w:rFonts w:ascii="Liberation Sans" w:hAnsi="Liberation Sans"/>
                <w:sz w:val="16"/>
              </w:rPr>
            </w:r>
            <w:r>
              <w:rPr>
                <w:rFonts w:ascii="Liberation Sans" w:hAnsi="Liberation Sans"/>
                <w:b w:val="0"/>
                <w:sz w:val="16"/>
              </w:rPr>
              <w:t>Marseille</w:t>
            </w:r>
          </w:p>
        </w:tc>
        <w:tc>
          <w:tcPr>
            <w:tcW w:type="dxa" w:w="3096"/>
            <w:vAlign w:val="top"/>
          </w:tcPr>
          <w:p>
            <w:pPr>
              <w:spacing w:after="0" w:line="240" w:lineRule="auto"/>
            </w:pPr>
            <w:r>
              <w:rPr>
                <w:rFonts w:ascii="Liberation Sans" w:hAnsi="Liberation Sans"/>
                <w:sz w:val="16"/>
              </w:rPr>
            </w:r>
            <w:r>
              <w:rPr>
                <w:rFonts w:ascii="Liberation Sans" w:hAnsi="Liberation Sans"/>
                <w:b w:val="0"/>
                <w:sz w:val="16"/>
              </w:rPr>
              <w:t>Accès potentiel aux roadmaps, arbitrages et priorités</w:t>
            </w:r>
          </w:p>
        </w:tc>
      </w:tr>
      <w:tr>
        <w:tc>
          <w:tcPr>
            <w:tcW w:type="dxa" w:w="2448"/>
            <w:vAlign w:val="top"/>
            <w:shd w:fill="F2F6FA"/>
          </w:tcPr>
          <w:p>
            <w:pPr>
              <w:spacing w:after="0" w:line="240" w:lineRule="auto"/>
            </w:pPr>
            <w:r>
              <w:rPr>
                <w:rFonts w:ascii="Liberation Sans" w:hAnsi="Liberation Sans"/>
                <w:sz w:val="16"/>
              </w:rPr>
            </w:r>
            <w:r>
              <w:rPr>
                <w:rFonts w:ascii="Liberation Sans" w:hAnsi="Liberation Sans"/>
                <w:b w:val="0"/>
                <w:sz w:val="16"/>
              </w:rPr>
              <w:t>Architecture / data</w:t>
            </w:r>
          </w:p>
        </w:tc>
        <w:tc>
          <w:tcPr>
            <w:tcW w:type="dxa" w:w="2376"/>
            <w:vAlign w:val="top"/>
            <w:shd w:fill="F2F6FA"/>
          </w:tcPr>
          <w:p>
            <w:pPr>
              <w:spacing w:after="0" w:line="240" w:lineRule="auto"/>
            </w:pPr>
            <w:r>
              <w:rPr>
                <w:rFonts w:ascii="Liberation Sans" w:hAnsi="Liberation Sans"/>
                <w:sz w:val="16"/>
              </w:rPr>
            </w:r>
            <w:r>
              <w:rPr>
                <w:rFonts w:ascii="Liberation Sans" w:hAnsi="Liberation Sans"/>
                <w:b w:val="0"/>
                <w:sz w:val="16"/>
              </w:rPr>
              <w:t>Noms non publiés</w:t>
            </w:r>
          </w:p>
        </w:tc>
        <w:tc>
          <w:tcPr>
            <w:tcW w:type="dxa" w:w="1584"/>
            <w:vAlign w:val="top"/>
            <w:shd w:fill="F2F6FA"/>
          </w:tcPr>
          <w:p>
            <w:pPr>
              <w:spacing w:after="0" w:line="240" w:lineRule="auto"/>
            </w:pPr>
            <w:r>
              <w:rPr>
                <w:rFonts w:ascii="Liberation Sans" w:hAnsi="Liberation Sans"/>
                <w:sz w:val="16"/>
              </w:rPr>
            </w:r>
            <w:r>
              <w:rPr>
                <w:rFonts w:ascii="Liberation Sans" w:hAnsi="Liberation Sans"/>
                <w:b w:val="0"/>
                <w:sz w:val="16"/>
              </w:rPr>
              <w:t>Marseille</w:t>
            </w:r>
          </w:p>
        </w:tc>
        <w:tc>
          <w:tcPr>
            <w:tcW w:type="dxa" w:w="3096"/>
            <w:vAlign w:val="top"/>
            <w:shd w:fill="F2F6FA"/>
          </w:tcPr>
          <w:p>
            <w:pPr>
              <w:spacing w:after="0" w:line="240" w:lineRule="auto"/>
            </w:pPr>
            <w:r>
              <w:rPr>
                <w:rFonts w:ascii="Liberation Sans" w:hAnsi="Liberation Sans"/>
                <w:sz w:val="16"/>
              </w:rPr>
            </w:r>
            <w:r>
              <w:rPr>
                <w:rFonts w:ascii="Liberation Sans" w:hAnsi="Liberation Sans"/>
                <w:b w:val="0"/>
                <w:sz w:val="16"/>
              </w:rPr>
              <w:t>Architecture d'entreprise, solution architecture, data foundations</w:t>
            </w:r>
          </w:p>
        </w:tc>
      </w:tr>
      <w:tr>
        <w:tc>
          <w:tcPr>
            <w:tcW w:type="dxa" w:w="2448"/>
            <w:vAlign w:val="top"/>
          </w:tcPr>
          <w:p>
            <w:pPr>
              <w:spacing w:after="0" w:line="240" w:lineRule="auto"/>
            </w:pPr>
            <w:r>
              <w:rPr>
                <w:rFonts w:ascii="Liberation Sans" w:hAnsi="Liberation Sans"/>
                <w:sz w:val="16"/>
              </w:rPr>
            </w:r>
            <w:r>
              <w:rPr>
                <w:rFonts w:ascii="Liberation Sans" w:hAnsi="Liberation Sans"/>
                <w:b w:val="0"/>
                <w:sz w:val="16"/>
              </w:rPr>
              <w:t>Cyber / SOC</w:t>
            </w:r>
          </w:p>
        </w:tc>
        <w:tc>
          <w:tcPr>
            <w:tcW w:type="dxa" w:w="2376"/>
            <w:vAlign w:val="top"/>
          </w:tcPr>
          <w:p>
            <w:pPr>
              <w:spacing w:after="0" w:line="240" w:lineRule="auto"/>
            </w:pPr>
            <w:r>
              <w:rPr>
                <w:rFonts w:ascii="Liberation Sans" w:hAnsi="Liberation Sans"/>
                <w:sz w:val="16"/>
              </w:rPr>
            </w:r>
            <w:r>
              <w:rPr>
                <w:rFonts w:ascii="Liberation Sans" w:hAnsi="Liberation Sans"/>
                <w:b w:val="0"/>
                <w:sz w:val="16"/>
              </w:rPr>
              <w:t>Noms non publiés</w:t>
            </w:r>
          </w:p>
        </w:tc>
        <w:tc>
          <w:tcPr>
            <w:tcW w:type="dxa" w:w="1584"/>
            <w:vAlign w:val="top"/>
          </w:tcPr>
          <w:p>
            <w:pPr>
              <w:spacing w:after="0" w:line="240" w:lineRule="auto"/>
            </w:pPr>
            <w:r>
              <w:rPr>
                <w:rFonts w:ascii="Liberation Sans" w:hAnsi="Liberation Sans"/>
                <w:sz w:val="16"/>
              </w:rPr>
            </w:r>
            <w:r>
              <w:rPr>
                <w:rFonts w:ascii="Liberation Sans" w:hAnsi="Liberation Sans"/>
                <w:b w:val="0"/>
                <w:sz w:val="16"/>
              </w:rPr>
              <w:t>Marseille / Puteaux selon signaux emploi</w:t>
            </w:r>
          </w:p>
        </w:tc>
        <w:tc>
          <w:tcPr>
            <w:tcW w:type="dxa" w:w="3096"/>
            <w:vAlign w:val="top"/>
          </w:tcPr>
          <w:p>
            <w:pPr>
              <w:spacing w:after="0" w:line="240" w:lineRule="auto"/>
            </w:pPr>
            <w:r>
              <w:rPr>
                <w:rFonts w:ascii="Liberation Sans" w:hAnsi="Liberation Sans"/>
                <w:sz w:val="16"/>
              </w:rPr>
            </w:r>
            <w:r>
              <w:rPr>
                <w:rFonts w:ascii="Liberation Sans" w:hAnsi="Liberation Sans"/>
                <w:b w:val="0"/>
                <w:sz w:val="16"/>
              </w:rPr>
              <w:t>SOC, cyberdéfense, sécurité opérationnelle et conformité</w:t>
            </w:r>
          </w:p>
        </w:tc>
      </w:tr>
    </w:tbl>
    <w:p/>
    <w:p>
      <w:pPr>
        <w:pStyle w:val="Heading2"/>
      </w:pPr>
      <w:r>
        <w:rPr>
          <w:rFonts w:ascii="Liberation Sans" w:hAnsi="Liberation Sans"/>
          <w:color w:val="1F4E79"/>
          <w:sz w:val="28"/>
        </w:rPr>
        <w:t>6.1 Angles d'approche IT / IA</w:t>
      </w:r>
    </w:p>
    <w:p>
      <w:pPr>
        <w:pStyle w:val="ListBullet"/>
        <w:spacing w:after="40"/>
      </w:pPr>
      <w:r>
        <w:rPr>
          <w:rFonts w:ascii="Liberation Sans" w:hAnsi="Liberation Sans"/>
          <w:sz w:val="18"/>
        </w:rPr>
        <w:t>Industrialiser les cas d'usage IA post-Google et post-Mistral : priorisation, gouvernance, sécurité, mesure du ROI et adoption métier.</w:t>
      </w:r>
    </w:p>
    <w:p>
      <w:pPr>
        <w:pStyle w:val="ListBullet"/>
        <w:spacing w:after="40"/>
      </w:pPr>
      <w:r>
        <w:rPr>
          <w:rFonts w:ascii="Liberation Sans" w:hAnsi="Liberation Sans"/>
          <w:sz w:val="18"/>
        </w:rPr>
        <w:t>Automatiser les flux documentaires shipping : booking, B/L, VGM, facturation, réclamations, qualité documentaire, réduction du temps de traitement.</w:t>
      </w:r>
    </w:p>
    <w:p>
      <w:pPr>
        <w:pStyle w:val="ListBullet"/>
        <w:spacing w:after="40"/>
      </w:pPr>
      <w:r>
        <w:rPr>
          <w:rFonts w:ascii="Liberation Sans" w:hAnsi="Liberation Sans"/>
          <w:sz w:val="18"/>
        </w:rPr>
        <w:t>Renforcer la cyber-résilience IT/OT : terminaux, agences, customer portals, chaînes EDI/API, tiers critiques, gestion des identités et incidents.</w:t>
      </w:r>
    </w:p>
    <w:p>
      <w:pPr>
        <w:pStyle w:val="ListBullet"/>
        <w:spacing w:after="40"/>
      </w:pPr>
      <w:r>
        <w:rPr>
          <w:rFonts w:ascii="Liberation Sans" w:hAnsi="Liberation Sans"/>
          <w:sz w:val="18"/>
        </w:rPr>
        <w:t>Créer un cockpit data opérations / achats / finance : marge par flux, coûts d'escale, fournisseurs à risque, qualité de service, anomalies factures.</w:t>
      </w:r>
    </w:p>
    <w:p>
      <w:pPr>
        <w:pStyle w:val="ListBullet"/>
        <w:spacing w:after="40"/>
      </w:pPr>
      <w:r>
        <w:rPr>
          <w:rFonts w:ascii="Liberation Sans" w:hAnsi="Liberation Sans"/>
          <w:sz w:val="18"/>
        </w:rPr>
        <w:t>Sécuriser les intégrations post-acquisitions : processus, référentiels fournisseurs, contrats, données, contrôles et reporting.</w:t>
      </w:r>
    </w:p>
    <w:p>
      <w:pPr>
        <w:pStyle w:val="Heading1"/>
      </w:pPr>
      <w:r>
        <w:rPr>
          <w:rFonts w:ascii="Liberation Sans" w:hAnsi="Liberation Sans"/>
          <w:color w:val="0B1F3A"/>
          <w:sz w:val="36"/>
        </w:rPr>
        <w:t>7. Focus achats et fournisseurs</w:t>
      </w:r>
    </w:p>
    <w:p>
      <w:pPr>
        <w:spacing w:after="100"/>
      </w:pPr>
      <w:r>
        <w:rPr>
          <w:rFonts w:ascii="Liberation Sans" w:hAnsi="Liberation Sans"/>
          <w:sz w:val="19"/>
        </w:rPr>
        <w:t>Les achats CMA CGM sont stratégiques compte tenu de la taille du groupe, de la diversité des catégories et des enjeux de continuité opérationnelle. Les sources publiques identifient Louis Schmidtlin comme SVP &amp; Group Chief Procurement Officer / CPO CMA-CGM, Marina Le Badezet comme Deputy Group Chief Procurement Officer, et Bob Basila comme SVP &amp; Chief Procurement Officer pour CMA CGM North America.</w:t>
      </w:r>
    </w:p>
    <w:tbl>
      <w:tblPr>
        <w:tblStyle w:val="TableGrid"/>
        <w:tblW w:type="auto" w:w="0"/>
        <w:jc w:val="center"/>
        <w:tblLayout w:type="fixed"/>
        <w:tblLook w:firstColumn="1" w:firstRow="1" w:lastColumn="0" w:lastRow="0" w:noHBand="0" w:noVBand="1" w:val="04A0"/>
      </w:tblPr>
      <w:tblGrid>
        <w:gridCol w:w="2064"/>
        <w:gridCol w:w="2064"/>
        <w:gridCol w:w="2064"/>
        <w:gridCol w:w="2064"/>
        <w:gridCol w:w="2064"/>
      </w:tblGrid>
      <w:tr>
        <w:trPr>
          <w:tblHeader w:val="true"/>
        </w:trPr>
        <w:tc>
          <w:tcPr>
            <w:tcW w:type="dxa" w:w="1584"/>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Bloc</w:t>
            </w:r>
          </w:p>
        </w:tc>
        <w:tc>
          <w:tcPr>
            <w:tcW w:type="dxa" w:w="208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Personne</w:t>
            </w:r>
          </w:p>
        </w:tc>
        <w:tc>
          <w:tcPr>
            <w:tcW w:type="dxa" w:w="288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Intitulé public</w:t>
            </w:r>
          </w:p>
        </w:tc>
        <w:tc>
          <w:tcPr>
            <w:tcW w:type="dxa" w:w="288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Catégories probables</w:t>
            </w:r>
          </w:p>
        </w:tc>
        <w:tc>
          <w:tcPr>
            <w:tcW w:type="dxa" w:w="2664"/>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Angle</w:t>
            </w:r>
          </w:p>
        </w:tc>
      </w:tr>
      <w:tr>
        <w:tc>
          <w:tcPr>
            <w:tcW w:type="dxa" w:w="1584"/>
            <w:vAlign w:val="top"/>
          </w:tcPr>
          <w:p>
            <w:pPr>
              <w:spacing w:after="0" w:line="240" w:lineRule="auto"/>
            </w:pPr>
            <w:r>
              <w:rPr>
                <w:rFonts w:ascii="Liberation Sans" w:hAnsi="Liberation Sans"/>
                <w:sz w:val="15"/>
              </w:rPr>
            </w:r>
            <w:r>
              <w:rPr>
                <w:rFonts w:ascii="Liberation Sans" w:hAnsi="Liberation Sans"/>
                <w:b w:val="0"/>
                <w:sz w:val="15"/>
              </w:rPr>
              <w:t>Achats groupe</w:t>
            </w:r>
          </w:p>
        </w:tc>
        <w:tc>
          <w:tcPr>
            <w:tcW w:type="dxa" w:w="2088"/>
            <w:vAlign w:val="top"/>
          </w:tcPr>
          <w:p>
            <w:pPr>
              <w:spacing w:after="0" w:line="240" w:lineRule="auto"/>
            </w:pPr>
            <w:r>
              <w:rPr>
                <w:rFonts w:ascii="Liberation Sans" w:hAnsi="Liberation Sans"/>
                <w:sz w:val="15"/>
              </w:rPr>
            </w:r>
            <w:r>
              <w:rPr>
                <w:rFonts w:ascii="Liberation Sans" w:hAnsi="Liberation Sans"/>
                <w:b w:val="0"/>
                <w:sz w:val="15"/>
              </w:rPr>
              <w:t>Louis Schmidtlin</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SVP &amp; Group Chief Procurement Officer</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Marine, logistics, indirect, catégories stratégiques</w:t>
            </w:r>
          </w:p>
        </w:tc>
        <w:tc>
          <w:tcPr>
            <w:tcW w:type="dxa" w:w="2664"/>
            <w:vAlign w:val="top"/>
          </w:tcPr>
          <w:p>
            <w:pPr>
              <w:spacing w:after="0" w:line="240" w:lineRule="auto"/>
            </w:pPr>
            <w:r>
              <w:rPr>
                <w:rFonts w:ascii="Liberation Sans" w:hAnsi="Liberation Sans"/>
                <w:sz w:val="15"/>
              </w:rPr>
            </w:r>
            <w:r>
              <w:rPr>
                <w:rFonts w:ascii="Liberation Sans" w:hAnsi="Liberation Sans"/>
                <w:b w:val="0"/>
                <w:sz w:val="15"/>
              </w:rPr>
              <w:t>Transformation achats, gouvernance fournisseurs, sourcing, coûts</w:t>
            </w:r>
          </w:p>
        </w:tc>
      </w:tr>
      <w:tr>
        <w:tc>
          <w:tcPr>
            <w:tcW w:type="dxa" w:w="1584"/>
            <w:vAlign w:val="top"/>
            <w:shd w:fill="F2F6FA"/>
          </w:tcPr>
          <w:p>
            <w:pPr>
              <w:spacing w:after="0" w:line="240" w:lineRule="auto"/>
            </w:pPr>
            <w:r>
              <w:rPr>
                <w:rFonts w:ascii="Liberation Sans" w:hAnsi="Liberation Sans"/>
                <w:sz w:val="15"/>
              </w:rPr>
            </w:r>
            <w:r>
              <w:rPr>
                <w:rFonts w:ascii="Liberation Sans" w:hAnsi="Liberation Sans"/>
                <w:b w:val="0"/>
                <w:sz w:val="15"/>
              </w:rPr>
              <w:t>Achats groupe adjoint</w:t>
            </w:r>
          </w:p>
        </w:tc>
        <w:tc>
          <w:tcPr>
            <w:tcW w:type="dxa" w:w="2088"/>
            <w:vAlign w:val="top"/>
            <w:shd w:fill="F2F6FA"/>
          </w:tcPr>
          <w:p>
            <w:pPr>
              <w:spacing w:after="0" w:line="240" w:lineRule="auto"/>
            </w:pPr>
            <w:r>
              <w:rPr>
                <w:rFonts w:ascii="Liberation Sans" w:hAnsi="Liberation Sans"/>
                <w:sz w:val="15"/>
              </w:rPr>
            </w:r>
            <w:r>
              <w:rPr>
                <w:rFonts w:ascii="Liberation Sans" w:hAnsi="Liberation Sans"/>
                <w:b w:val="0"/>
                <w:sz w:val="15"/>
              </w:rPr>
              <w:t>Marina Le Badezet</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Deputy Group Chief Procurement Officer</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Organisation achats, catégories non-trade / indirect selon sources publiques</w:t>
            </w:r>
          </w:p>
        </w:tc>
        <w:tc>
          <w:tcPr>
            <w:tcW w:type="dxa" w:w="2664"/>
            <w:vAlign w:val="top"/>
            <w:shd w:fill="F2F6FA"/>
          </w:tcPr>
          <w:p>
            <w:pPr>
              <w:spacing w:after="0" w:line="240" w:lineRule="auto"/>
            </w:pPr>
            <w:r>
              <w:rPr>
                <w:rFonts w:ascii="Liberation Sans" w:hAnsi="Liberation Sans"/>
                <w:sz w:val="15"/>
              </w:rPr>
            </w:r>
            <w:r>
              <w:rPr>
                <w:rFonts w:ascii="Liberation Sans" w:hAnsi="Liberation Sans"/>
                <w:b w:val="0"/>
                <w:sz w:val="15"/>
              </w:rPr>
              <w:t>Cadrage opérationnel et transformation</w:t>
            </w:r>
          </w:p>
        </w:tc>
      </w:tr>
      <w:tr>
        <w:tc>
          <w:tcPr>
            <w:tcW w:type="dxa" w:w="1584"/>
            <w:vAlign w:val="top"/>
          </w:tcPr>
          <w:p>
            <w:pPr>
              <w:spacing w:after="0" w:line="240" w:lineRule="auto"/>
            </w:pPr>
            <w:r>
              <w:rPr>
                <w:rFonts w:ascii="Liberation Sans" w:hAnsi="Liberation Sans"/>
                <w:sz w:val="15"/>
              </w:rPr>
            </w:r>
            <w:r>
              <w:rPr>
                <w:rFonts w:ascii="Liberation Sans" w:hAnsi="Liberation Sans"/>
                <w:b w:val="0"/>
                <w:sz w:val="15"/>
              </w:rPr>
              <w:t>Achats énergie</w:t>
            </w:r>
          </w:p>
        </w:tc>
        <w:tc>
          <w:tcPr>
            <w:tcW w:type="dxa" w:w="2088"/>
            <w:vAlign w:val="top"/>
          </w:tcPr>
          <w:p>
            <w:pPr>
              <w:spacing w:after="0" w:line="240" w:lineRule="auto"/>
            </w:pPr>
            <w:r>
              <w:rPr>
                <w:rFonts w:ascii="Liberation Sans" w:hAnsi="Liberation Sans"/>
                <w:sz w:val="15"/>
              </w:rPr>
            </w:r>
            <w:r>
              <w:rPr>
                <w:rFonts w:ascii="Liberation Sans" w:hAnsi="Liberation Sans"/>
                <w:b w:val="0"/>
                <w:sz w:val="15"/>
              </w:rPr>
              <w:t>Mireille Trabuc</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Purchasing Manager - Energy Department</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Énergie / carburants / utilities</w:t>
            </w:r>
          </w:p>
        </w:tc>
        <w:tc>
          <w:tcPr>
            <w:tcW w:type="dxa" w:w="2664"/>
            <w:vAlign w:val="top"/>
          </w:tcPr>
          <w:p>
            <w:pPr>
              <w:spacing w:after="0" w:line="240" w:lineRule="auto"/>
            </w:pPr>
            <w:r>
              <w:rPr>
                <w:rFonts w:ascii="Liberation Sans" w:hAnsi="Liberation Sans"/>
                <w:sz w:val="15"/>
              </w:rPr>
            </w:r>
            <w:r>
              <w:rPr>
                <w:rFonts w:ascii="Liberation Sans" w:hAnsi="Liberation Sans"/>
                <w:b w:val="0"/>
                <w:sz w:val="15"/>
              </w:rPr>
              <w:t>Sujets énergie, volatilité, contrats, décarbonation</w:t>
            </w:r>
          </w:p>
        </w:tc>
      </w:tr>
      <w:tr>
        <w:tc>
          <w:tcPr>
            <w:tcW w:type="dxa" w:w="1584"/>
            <w:vAlign w:val="top"/>
            <w:shd w:fill="F2F6FA"/>
          </w:tcPr>
          <w:p>
            <w:pPr>
              <w:spacing w:after="0" w:line="240" w:lineRule="auto"/>
            </w:pPr>
            <w:r>
              <w:rPr>
                <w:rFonts w:ascii="Liberation Sans" w:hAnsi="Liberation Sans"/>
                <w:sz w:val="15"/>
              </w:rPr>
            </w:r>
            <w:r>
              <w:rPr>
                <w:rFonts w:ascii="Liberation Sans" w:hAnsi="Liberation Sans"/>
                <w:b w:val="0"/>
                <w:sz w:val="15"/>
              </w:rPr>
              <w:t>Achats North America</w:t>
            </w:r>
          </w:p>
        </w:tc>
        <w:tc>
          <w:tcPr>
            <w:tcW w:type="dxa" w:w="2088"/>
            <w:vAlign w:val="top"/>
            <w:shd w:fill="F2F6FA"/>
          </w:tcPr>
          <w:p>
            <w:pPr>
              <w:spacing w:after="0" w:line="240" w:lineRule="auto"/>
            </w:pPr>
            <w:r>
              <w:rPr>
                <w:rFonts w:ascii="Liberation Sans" w:hAnsi="Liberation Sans"/>
                <w:sz w:val="15"/>
              </w:rPr>
            </w:r>
            <w:r>
              <w:rPr>
                <w:rFonts w:ascii="Liberation Sans" w:hAnsi="Liberation Sans"/>
                <w:b w:val="0"/>
                <w:sz w:val="15"/>
              </w:rPr>
              <w:t>Bob Basila</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SVP &amp; Chief Procurement Officer - North America</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Ocean terminal, rail, truck, barge, chassis, depot, corporate services</w:t>
            </w:r>
          </w:p>
        </w:tc>
        <w:tc>
          <w:tcPr>
            <w:tcW w:type="dxa" w:w="2664"/>
            <w:vAlign w:val="top"/>
            <w:shd w:fill="F2F6FA"/>
          </w:tcPr>
          <w:p>
            <w:pPr>
              <w:spacing w:after="0" w:line="240" w:lineRule="auto"/>
            </w:pPr>
            <w:r>
              <w:rPr>
                <w:rFonts w:ascii="Liberation Sans" w:hAnsi="Liberation Sans"/>
                <w:sz w:val="15"/>
              </w:rPr>
            </w:r>
            <w:r>
              <w:rPr>
                <w:rFonts w:ascii="Liberation Sans" w:hAnsi="Liberation Sans"/>
                <w:b w:val="0"/>
                <w:sz w:val="15"/>
              </w:rPr>
              <w:t>Contrats transport, SRM, digital strategy, négociations</w:t>
            </w:r>
          </w:p>
        </w:tc>
      </w:tr>
    </w:tbl>
    <w:p/>
    <w:p>
      <w:pPr>
        <w:pStyle w:val="Heading2"/>
      </w:pPr>
      <w:r>
        <w:rPr>
          <w:rFonts w:ascii="Liberation Sans" w:hAnsi="Liberation Sans"/>
          <w:color w:val="1F4E79"/>
          <w:sz w:val="28"/>
        </w:rPr>
        <w:t>7.1 Circuit d'achat probable</w:t>
      </w:r>
    </w:p>
    <w:tbl>
      <w:tblPr>
        <w:tblStyle w:val="TableGrid"/>
        <w:tblW w:type="auto" w:w="0"/>
        <w:jc w:val="center"/>
        <w:tblLayout w:type="fixed"/>
        <w:tblLook w:firstColumn="1" w:firstRow="1" w:lastColumn="0" w:lastRow="0" w:noHBand="0" w:noVBand="1" w:val="04A0"/>
      </w:tblPr>
      <w:tblGrid>
        <w:gridCol w:w="2579"/>
        <w:gridCol w:w="2579"/>
        <w:gridCol w:w="2579"/>
        <w:gridCol w:w="2579"/>
      </w:tblGrid>
      <w:tr>
        <w:trPr>
          <w:tblHeader w:val="true"/>
        </w:trPr>
        <w:tc>
          <w:tcPr>
            <w:tcW w:type="dxa" w:w="1296"/>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Étape</w:t>
            </w:r>
          </w:p>
        </w:tc>
        <w:tc>
          <w:tcPr>
            <w:tcW w:type="dxa" w:w="288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Acteurs</w:t>
            </w:r>
          </w:p>
        </w:tc>
        <w:tc>
          <w:tcPr>
            <w:tcW w:type="dxa" w:w="252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Décideur probable</w:t>
            </w:r>
          </w:p>
        </w:tc>
        <w:tc>
          <w:tcPr>
            <w:tcW w:type="dxa" w:w="2808"/>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Points à préparer</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1. Besoin métier</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BU / direction fonctionnelle : IT, shipping, logistics, terminals, finance, risk</w:t>
            </w:r>
          </w:p>
        </w:tc>
        <w:tc>
          <w:tcPr>
            <w:tcW w:type="dxa" w:w="2520"/>
            <w:vAlign w:val="top"/>
          </w:tcPr>
          <w:p>
            <w:pPr>
              <w:spacing w:after="0" w:line="240" w:lineRule="auto"/>
            </w:pPr>
            <w:r>
              <w:rPr>
                <w:rFonts w:ascii="Liberation Sans" w:hAnsi="Liberation Sans"/>
                <w:sz w:val="15"/>
              </w:rPr>
            </w:r>
            <w:r>
              <w:rPr>
                <w:rFonts w:ascii="Liberation Sans" w:hAnsi="Liberation Sans"/>
                <w:b w:val="0"/>
                <w:sz w:val="15"/>
              </w:rPr>
              <w:t>Sponsor opérationnel</w:t>
            </w:r>
          </w:p>
        </w:tc>
        <w:tc>
          <w:tcPr>
            <w:tcW w:type="dxa" w:w="2808"/>
            <w:vAlign w:val="top"/>
          </w:tcPr>
          <w:p>
            <w:pPr>
              <w:spacing w:after="0" w:line="240" w:lineRule="auto"/>
            </w:pPr>
            <w:r>
              <w:rPr>
                <w:rFonts w:ascii="Liberation Sans" w:hAnsi="Liberation Sans"/>
                <w:sz w:val="15"/>
              </w:rPr>
            </w:r>
            <w:r>
              <w:rPr>
                <w:rFonts w:ascii="Liberation Sans" w:hAnsi="Liberation Sans"/>
                <w:b w:val="0"/>
                <w:sz w:val="15"/>
              </w:rPr>
              <w:t>Douleur, périmètre, budget, urgence</w:t>
            </w:r>
          </w:p>
        </w:tc>
      </w:tr>
      <w:tr>
        <w:tc>
          <w:tcPr>
            <w:tcW w:type="dxa" w:w="1296"/>
            <w:vAlign w:val="top"/>
            <w:shd w:fill="F2F6FA"/>
          </w:tcPr>
          <w:p>
            <w:pPr>
              <w:spacing w:after="0" w:line="240" w:lineRule="auto"/>
            </w:pPr>
            <w:r>
              <w:rPr>
                <w:rFonts w:ascii="Liberation Sans" w:hAnsi="Liberation Sans"/>
                <w:sz w:val="15"/>
              </w:rPr>
            </w:r>
            <w:r>
              <w:rPr>
                <w:rFonts w:ascii="Liberation Sans" w:hAnsi="Liberation Sans"/>
                <w:b w:val="0"/>
                <w:sz w:val="15"/>
              </w:rPr>
              <w:t>2. Qualification</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Achats catégorie + finance + juridique + sécurité si IT</w:t>
            </w:r>
          </w:p>
        </w:tc>
        <w:tc>
          <w:tcPr>
            <w:tcW w:type="dxa" w:w="2520"/>
            <w:vAlign w:val="top"/>
            <w:shd w:fill="F2F6FA"/>
          </w:tcPr>
          <w:p>
            <w:pPr>
              <w:spacing w:after="0" w:line="240" w:lineRule="auto"/>
            </w:pPr>
            <w:r>
              <w:rPr>
                <w:rFonts w:ascii="Liberation Sans" w:hAnsi="Liberation Sans"/>
                <w:sz w:val="15"/>
              </w:rPr>
            </w:r>
            <w:r>
              <w:rPr>
                <w:rFonts w:ascii="Liberation Sans" w:hAnsi="Liberation Sans"/>
                <w:b w:val="0"/>
                <w:sz w:val="15"/>
              </w:rPr>
              <w:t>Procurement / Finance / Legal</w:t>
            </w:r>
          </w:p>
        </w:tc>
        <w:tc>
          <w:tcPr>
            <w:tcW w:type="dxa" w:w="2808"/>
            <w:vAlign w:val="top"/>
            <w:shd w:fill="F2F6FA"/>
          </w:tcPr>
          <w:p>
            <w:pPr>
              <w:spacing w:after="0" w:line="240" w:lineRule="auto"/>
            </w:pPr>
            <w:r>
              <w:rPr>
                <w:rFonts w:ascii="Liberation Sans" w:hAnsi="Liberation Sans"/>
                <w:sz w:val="15"/>
              </w:rPr>
            </w:r>
            <w:r>
              <w:rPr>
                <w:rFonts w:ascii="Liberation Sans" w:hAnsi="Liberation Sans"/>
                <w:b w:val="0"/>
                <w:sz w:val="15"/>
              </w:rPr>
              <w:t>Make-or-buy, sourcing, panel, risque fournisseur</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3. Consultation</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RFI / RFP / sourcing direct selon catégorie</w:t>
            </w:r>
          </w:p>
        </w:tc>
        <w:tc>
          <w:tcPr>
            <w:tcW w:type="dxa" w:w="2520"/>
            <w:vAlign w:val="top"/>
          </w:tcPr>
          <w:p>
            <w:pPr>
              <w:spacing w:after="0" w:line="240" w:lineRule="auto"/>
            </w:pPr>
            <w:r>
              <w:rPr>
                <w:rFonts w:ascii="Liberation Sans" w:hAnsi="Liberation Sans"/>
                <w:sz w:val="15"/>
              </w:rPr>
            </w:r>
            <w:r>
              <w:rPr>
                <w:rFonts w:ascii="Liberation Sans" w:hAnsi="Liberation Sans"/>
                <w:b w:val="0"/>
                <w:sz w:val="15"/>
              </w:rPr>
              <w:t>Achats</w:t>
            </w:r>
          </w:p>
        </w:tc>
        <w:tc>
          <w:tcPr>
            <w:tcW w:type="dxa" w:w="2808"/>
            <w:vAlign w:val="top"/>
          </w:tcPr>
          <w:p>
            <w:pPr>
              <w:spacing w:after="0" w:line="240" w:lineRule="auto"/>
            </w:pPr>
            <w:r>
              <w:rPr>
                <w:rFonts w:ascii="Liberation Sans" w:hAnsi="Liberation Sans"/>
                <w:sz w:val="15"/>
              </w:rPr>
            </w:r>
            <w:r>
              <w:rPr>
                <w:rFonts w:ascii="Liberation Sans" w:hAnsi="Liberation Sans"/>
                <w:b w:val="0"/>
                <w:sz w:val="15"/>
              </w:rPr>
              <w:t>Cahier des charges, critères, short list</w:t>
            </w:r>
          </w:p>
        </w:tc>
      </w:tr>
      <w:tr>
        <w:tc>
          <w:tcPr>
            <w:tcW w:type="dxa" w:w="1296"/>
            <w:vAlign w:val="top"/>
            <w:shd w:fill="F2F6FA"/>
          </w:tcPr>
          <w:p>
            <w:pPr>
              <w:spacing w:after="0" w:line="240" w:lineRule="auto"/>
            </w:pPr>
            <w:r>
              <w:rPr>
                <w:rFonts w:ascii="Liberation Sans" w:hAnsi="Liberation Sans"/>
                <w:sz w:val="15"/>
              </w:rPr>
            </w:r>
            <w:r>
              <w:rPr>
                <w:rFonts w:ascii="Liberation Sans" w:hAnsi="Liberation Sans"/>
                <w:b w:val="0"/>
                <w:sz w:val="15"/>
              </w:rPr>
              <w:t>4. Validation</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Direction métier + achats + finance + sécurité / risk</w:t>
            </w:r>
          </w:p>
        </w:tc>
        <w:tc>
          <w:tcPr>
            <w:tcW w:type="dxa" w:w="2520"/>
            <w:vAlign w:val="top"/>
            <w:shd w:fill="F2F6FA"/>
          </w:tcPr>
          <w:p>
            <w:pPr>
              <w:spacing w:after="0" w:line="240" w:lineRule="auto"/>
            </w:pPr>
            <w:r>
              <w:rPr>
                <w:rFonts w:ascii="Liberation Sans" w:hAnsi="Liberation Sans"/>
                <w:sz w:val="15"/>
              </w:rPr>
            </w:r>
            <w:r>
              <w:rPr>
                <w:rFonts w:ascii="Liberation Sans" w:hAnsi="Liberation Sans"/>
                <w:b w:val="0"/>
                <w:sz w:val="15"/>
              </w:rPr>
              <w:t>Comité ou décideur exécutif</w:t>
            </w:r>
          </w:p>
        </w:tc>
        <w:tc>
          <w:tcPr>
            <w:tcW w:type="dxa" w:w="2808"/>
            <w:vAlign w:val="top"/>
            <w:shd w:fill="F2F6FA"/>
          </w:tcPr>
          <w:p>
            <w:pPr>
              <w:spacing w:after="0" w:line="240" w:lineRule="auto"/>
            </w:pPr>
            <w:r>
              <w:rPr>
                <w:rFonts w:ascii="Liberation Sans" w:hAnsi="Liberation Sans"/>
                <w:sz w:val="15"/>
              </w:rPr>
            </w:r>
            <w:r>
              <w:rPr>
                <w:rFonts w:ascii="Liberation Sans" w:hAnsi="Liberation Sans"/>
                <w:b w:val="0"/>
                <w:sz w:val="15"/>
              </w:rPr>
              <w:t>ROI, risque, conformité, budget</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5. Contractualisation</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Legal, achats, DPO / cyber selon cas</w:t>
            </w:r>
          </w:p>
        </w:tc>
        <w:tc>
          <w:tcPr>
            <w:tcW w:type="dxa" w:w="2520"/>
            <w:vAlign w:val="top"/>
          </w:tcPr>
          <w:p>
            <w:pPr>
              <w:spacing w:after="0" w:line="240" w:lineRule="auto"/>
            </w:pPr>
            <w:r>
              <w:rPr>
                <w:rFonts w:ascii="Liberation Sans" w:hAnsi="Liberation Sans"/>
                <w:sz w:val="15"/>
              </w:rPr>
            </w:r>
            <w:r>
              <w:rPr>
                <w:rFonts w:ascii="Liberation Sans" w:hAnsi="Liberation Sans"/>
                <w:b w:val="0"/>
                <w:sz w:val="15"/>
              </w:rPr>
              <w:t>Achats / Legal</w:t>
            </w:r>
          </w:p>
        </w:tc>
        <w:tc>
          <w:tcPr>
            <w:tcW w:type="dxa" w:w="2808"/>
            <w:vAlign w:val="top"/>
          </w:tcPr>
          <w:p>
            <w:pPr>
              <w:spacing w:after="0" w:line="240" w:lineRule="auto"/>
            </w:pPr>
            <w:r>
              <w:rPr>
                <w:rFonts w:ascii="Liberation Sans" w:hAnsi="Liberation Sans"/>
                <w:sz w:val="15"/>
              </w:rPr>
            </w:r>
            <w:r>
              <w:rPr>
                <w:rFonts w:ascii="Liberation Sans" w:hAnsi="Liberation Sans"/>
                <w:b w:val="0"/>
                <w:sz w:val="15"/>
              </w:rPr>
              <w:t>MSA, DPA, SLA, responsabilité, sécurité</w:t>
            </w:r>
          </w:p>
        </w:tc>
      </w:tr>
      <w:tr>
        <w:tc>
          <w:tcPr>
            <w:tcW w:type="dxa" w:w="1296"/>
            <w:vAlign w:val="top"/>
            <w:shd w:fill="F2F6FA"/>
          </w:tcPr>
          <w:p>
            <w:pPr>
              <w:spacing w:after="0" w:line="240" w:lineRule="auto"/>
            </w:pPr>
            <w:r>
              <w:rPr>
                <w:rFonts w:ascii="Liberation Sans" w:hAnsi="Liberation Sans"/>
                <w:sz w:val="15"/>
              </w:rPr>
            </w:r>
            <w:r>
              <w:rPr>
                <w:rFonts w:ascii="Liberation Sans" w:hAnsi="Liberation Sans"/>
                <w:b w:val="0"/>
                <w:sz w:val="15"/>
              </w:rPr>
              <w:t>6. Run / SRM</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Métier + achats + fournisseurs</w:t>
            </w:r>
          </w:p>
        </w:tc>
        <w:tc>
          <w:tcPr>
            <w:tcW w:type="dxa" w:w="2520"/>
            <w:vAlign w:val="top"/>
            <w:shd w:fill="F2F6FA"/>
          </w:tcPr>
          <w:p>
            <w:pPr>
              <w:spacing w:after="0" w:line="240" w:lineRule="auto"/>
            </w:pPr>
            <w:r>
              <w:rPr>
                <w:rFonts w:ascii="Liberation Sans" w:hAnsi="Liberation Sans"/>
                <w:sz w:val="15"/>
              </w:rPr>
            </w:r>
            <w:r>
              <w:rPr>
                <w:rFonts w:ascii="Liberation Sans" w:hAnsi="Liberation Sans"/>
                <w:b w:val="0"/>
                <w:sz w:val="15"/>
              </w:rPr>
              <w:t>Contract owner</w:t>
            </w:r>
          </w:p>
        </w:tc>
        <w:tc>
          <w:tcPr>
            <w:tcW w:type="dxa" w:w="2808"/>
            <w:vAlign w:val="top"/>
            <w:shd w:fill="F2F6FA"/>
          </w:tcPr>
          <w:p>
            <w:pPr>
              <w:spacing w:after="0" w:line="240" w:lineRule="auto"/>
            </w:pPr>
            <w:r>
              <w:rPr>
                <w:rFonts w:ascii="Liberation Sans" w:hAnsi="Liberation Sans"/>
                <w:sz w:val="15"/>
              </w:rPr>
            </w:r>
            <w:r>
              <w:rPr>
                <w:rFonts w:ascii="Liberation Sans" w:hAnsi="Liberation Sans"/>
                <w:b w:val="0"/>
                <w:sz w:val="15"/>
              </w:rPr>
              <w:t>KPI, qualité, pénalités, amélioration continue</w:t>
            </w:r>
          </w:p>
        </w:tc>
      </w:tr>
    </w:tbl>
    <w:p/>
    <w:p>
      <w:pPr>
        <w:pStyle w:val="Heading1"/>
      </w:pPr>
      <w:r>
        <w:rPr>
          <w:rFonts w:ascii="Liberation Sans" w:hAnsi="Liberation Sans"/>
          <w:color w:val="0B1F3A"/>
          <w:sz w:val="36"/>
        </w:rPr>
        <w:t>8. Opportunités commerciales à prioriser</w:t>
      </w:r>
    </w:p>
    <w:p>
      <w:pPr>
        <w:spacing w:after="100"/>
      </w:pPr>
      <w:r>
        <w:rPr>
          <w:rFonts w:ascii="Liberation Sans" w:hAnsi="Liberation Sans"/>
          <w:sz w:val="19"/>
        </w:rPr>
        <w:t>Sans connaître votre offre exacte, les opportunités ci-dessous sont structurées pour un directeur stratégique qui souhaite ouvrir et développer le compte. Elles peuvent être adaptées à une offre IT, conseil, achats, audit fournisseurs, CLM, IA, data, cyber ou transformation.</w:t>
      </w:r>
    </w:p>
    <w:tbl>
      <w:tblPr>
        <w:tblStyle w:val="TableGrid"/>
        <w:tblW w:type="auto" w:w="0"/>
        <w:jc w:val="center"/>
        <w:tblLayout w:type="fixed"/>
        <w:tblLook w:firstColumn="1" w:firstRow="1" w:lastColumn="0" w:lastRow="0" w:noHBand="0" w:noVBand="1" w:val="04A0"/>
      </w:tblPr>
      <w:tblGrid>
        <w:gridCol w:w="2064"/>
        <w:gridCol w:w="2064"/>
        <w:gridCol w:w="2064"/>
        <w:gridCol w:w="2064"/>
        <w:gridCol w:w="2064"/>
      </w:tblGrid>
      <w:tr>
        <w:trPr>
          <w:tblHeader w:val="true"/>
        </w:trPr>
        <w:tc>
          <w:tcPr>
            <w:tcW w:type="dxa" w:w="72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Priorité</w:t>
            </w:r>
          </w:p>
        </w:tc>
        <w:tc>
          <w:tcPr>
            <w:tcW w:type="dxa" w:w="2232"/>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Offre / thème</w:t>
            </w:r>
          </w:p>
        </w:tc>
        <w:tc>
          <w:tcPr>
            <w:tcW w:type="dxa" w:w="244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Acheteurs internes</w:t>
            </w:r>
          </w:p>
        </w:tc>
        <w:tc>
          <w:tcPr>
            <w:tcW w:type="dxa" w:w="280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Valeur à vendre</w:t>
            </w:r>
          </w:p>
        </w:tc>
        <w:tc>
          <w:tcPr>
            <w:tcW w:type="dxa" w:w="252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Point d'entrée</w:t>
            </w:r>
          </w:p>
        </w:tc>
      </w:tr>
      <w:tr>
        <w:tc>
          <w:tcPr>
            <w:tcW w:type="dxa" w:w="720"/>
            <w:vAlign w:val="top"/>
          </w:tcPr>
          <w:p>
            <w:pPr>
              <w:spacing w:after="0" w:line="240" w:lineRule="auto"/>
            </w:pPr>
            <w:r>
              <w:rPr>
                <w:rFonts w:ascii="Liberation Sans" w:hAnsi="Liberation Sans"/>
                <w:sz w:val="14"/>
              </w:rPr>
            </w:r>
            <w:r>
              <w:rPr>
                <w:rFonts w:ascii="Liberation Sans" w:hAnsi="Liberation Sans"/>
                <w:b w:val="0"/>
                <w:sz w:val="14"/>
              </w:rPr>
              <w:t>A</w:t>
            </w:r>
          </w:p>
        </w:tc>
        <w:tc>
          <w:tcPr>
            <w:tcW w:type="dxa" w:w="2232"/>
            <w:vAlign w:val="top"/>
          </w:tcPr>
          <w:p>
            <w:pPr>
              <w:spacing w:after="0" w:line="240" w:lineRule="auto"/>
            </w:pPr>
            <w:r>
              <w:rPr>
                <w:rFonts w:ascii="Liberation Sans" w:hAnsi="Liberation Sans"/>
                <w:sz w:val="14"/>
              </w:rPr>
            </w:r>
            <w:r>
              <w:rPr>
                <w:rFonts w:ascii="Liberation Sans" w:hAnsi="Liberation Sans"/>
                <w:b w:val="0"/>
                <w:sz w:val="14"/>
              </w:rPr>
              <w:t>Audit fournisseurs / recovery / contrôle dépenses</w:t>
            </w:r>
          </w:p>
        </w:tc>
        <w:tc>
          <w:tcPr>
            <w:tcW w:type="dxa" w:w="2448"/>
            <w:vAlign w:val="top"/>
          </w:tcPr>
          <w:p>
            <w:pPr>
              <w:spacing w:after="0" w:line="240" w:lineRule="auto"/>
            </w:pPr>
            <w:r>
              <w:rPr>
                <w:rFonts w:ascii="Liberation Sans" w:hAnsi="Liberation Sans"/>
                <w:sz w:val="14"/>
              </w:rPr>
            </w:r>
            <w:r>
              <w:rPr>
                <w:rFonts w:ascii="Liberation Sans" w:hAnsi="Liberation Sans"/>
                <w:b w:val="0"/>
                <w:sz w:val="14"/>
              </w:rPr>
              <w:t>Achats groupe, finance, risk</w:t>
            </w:r>
          </w:p>
        </w:tc>
        <w:tc>
          <w:tcPr>
            <w:tcW w:type="dxa" w:w="2808"/>
            <w:vAlign w:val="top"/>
          </w:tcPr>
          <w:p>
            <w:pPr>
              <w:spacing w:after="0" w:line="240" w:lineRule="auto"/>
            </w:pPr>
            <w:r>
              <w:rPr>
                <w:rFonts w:ascii="Liberation Sans" w:hAnsi="Liberation Sans"/>
                <w:sz w:val="14"/>
              </w:rPr>
            </w:r>
            <w:r>
              <w:rPr>
                <w:rFonts w:ascii="Liberation Sans" w:hAnsi="Liberation Sans"/>
                <w:b w:val="0"/>
                <w:sz w:val="14"/>
              </w:rPr>
              <w:t>Détecter anomalies, doubles paiements, écarts contrats-factures, fuites de valeur</w:t>
            </w:r>
          </w:p>
        </w:tc>
        <w:tc>
          <w:tcPr>
            <w:tcW w:type="dxa" w:w="2520"/>
            <w:vAlign w:val="top"/>
          </w:tcPr>
          <w:p>
            <w:pPr>
              <w:spacing w:after="0" w:line="240" w:lineRule="auto"/>
            </w:pPr>
            <w:r>
              <w:rPr>
                <w:rFonts w:ascii="Liberation Sans" w:hAnsi="Liberation Sans"/>
                <w:sz w:val="14"/>
              </w:rPr>
            </w:r>
            <w:r>
              <w:rPr>
                <w:rFonts w:ascii="Liberation Sans" w:hAnsi="Liberation Sans"/>
                <w:b w:val="0"/>
                <w:sz w:val="14"/>
              </w:rPr>
              <w:t>Business case rapide sur périmètre pilote France ou catégorie indirecte</w:t>
            </w:r>
          </w:p>
        </w:tc>
      </w:tr>
      <w:tr>
        <w:tc>
          <w:tcPr>
            <w:tcW w:type="dxa" w:w="720"/>
            <w:vAlign w:val="top"/>
            <w:shd w:fill="F2F6FA"/>
          </w:tcPr>
          <w:p>
            <w:pPr>
              <w:spacing w:after="0" w:line="240" w:lineRule="auto"/>
            </w:pPr>
            <w:r>
              <w:rPr>
                <w:rFonts w:ascii="Liberation Sans" w:hAnsi="Liberation Sans"/>
                <w:sz w:val="14"/>
              </w:rPr>
            </w:r>
            <w:r>
              <w:rPr>
                <w:rFonts w:ascii="Liberation Sans" w:hAnsi="Liberation Sans"/>
                <w:b w:val="0"/>
                <w:sz w:val="14"/>
              </w:rPr>
              <w:t>B</w:t>
            </w:r>
          </w:p>
        </w:tc>
        <w:tc>
          <w:tcPr>
            <w:tcW w:type="dxa" w:w="2232"/>
            <w:vAlign w:val="top"/>
            <w:shd w:fill="F2F6FA"/>
          </w:tcPr>
          <w:p>
            <w:pPr>
              <w:spacing w:after="0" w:line="240" w:lineRule="auto"/>
            </w:pPr>
            <w:r>
              <w:rPr>
                <w:rFonts w:ascii="Liberation Sans" w:hAnsi="Liberation Sans"/>
                <w:sz w:val="14"/>
              </w:rPr>
            </w:r>
            <w:r>
              <w:rPr>
                <w:rFonts w:ascii="Liberation Sans" w:hAnsi="Liberation Sans"/>
                <w:b w:val="0"/>
                <w:sz w:val="14"/>
              </w:rPr>
              <w:t>Contract Lifecycle Management / IA contrats</w:t>
            </w:r>
          </w:p>
        </w:tc>
        <w:tc>
          <w:tcPr>
            <w:tcW w:type="dxa" w:w="2448"/>
            <w:vAlign w:val="top"/>
            <w:shd w:fill="F2F6FA"/>
          </w:tcPr>
          <w:p>
            <w:pPr>
              <w:spacing w:after="0" w:line="240" w:lineRule="auto"/>
            </w:pPr>
            <w:r>
              <w:rPr>
                <w:rFonts w:ascii="Liberation Sans" w:hAnsi="Liberation Sans"/>
                <w:sz w:val="14"/>
              </w:rPr>
            </w:r>
            <w:r>
              <w:rPr>
                <w:rFonts w:ascii="Liberation Sans" w:hAnsi="Liberation Sans"/>
                <w:b w:val="0"/>
                <w:sz w:val="14"/>
              </w:rPr>
              <w:t>Achats, juridique, IT</w:t>
            </w:r>
          </w:p>
        </w:tc>
        <w:tc>
          <w:tcPr>
            <w:tcW w:type="dxa" w:w="2808"/>
            <w:vAlign w:val="top"/>
            <w:shd w:fill="F2F6FA"/>
          </w:tcPr>
          <w:p>
            <w:pPr>
              <w:spacing w:after="0" w:line="240" w:lineRule="auto"/>
            </w:pPr>
            <w:r>
              <w:rPr>
                <w:rFonts w:ascii="Liberation Sans" w:hAnsi="Liberation Sans"/>
                <w:sz w:val="14"/>
              </w:rPr>
            </w:r>
            <w:r>
              <w:rPr>
                <w:rFonts w:ascii="Liberation Sans" w:hAnsi="Liberation Sans"/>
                <w:b w:val="0"/>
                <w:sz w:val="14"/>
              </w:rPr>
              <w:t>Référentiel contrats, clauses clés, échéances, risques, obligations fournisseurs</w:t>
            </w:r>
          </w:p>
        </w:tc>
        <w:tc>
          <w:tcPr>
            <w:tcW w:type="dxa" w:w="2520"/>
            <w:vAlign w:val="top"/>
            <w:shd w:fill="F2F6FA"/>
          </w:tcPr>
          <w:p>
            <w:pPr>
              <w:spacing w:after="0" w:line="240" w:lineRule="auto"/>
            </w:pPr>
            <w:r>
              <w:rPr>
                <w:rFonts w:ascii="Liberation Sans" w:hAnsi="Liberation Sans"/>
                <w:sz w:val="14"/>
              </w:rPr>
            </w:r>
            <w:r>
              <w:rPr>
                <w:rFonts w:ascii="Liberation Sans" w:hAnsi="Liberation Sans"/>
                <w:b w:val="0"/>
                <w:sz w:val="14"/>
              </w:rPr>
              <w:t>Pilote sur IT / transport / facilities ou fournisseurs critiques</w:t>
            </w:r>
          </w:p>
        </w:tc>
      </w:tr>
      <w:tr>
        <w:tc>
          <w:tcPr>
            <w:tcW w:type="dxa" w:w="720"/>
            <w:vAlign w:val="top"/>
          </w:tcPr>
          <w:p>
            <w:pPr>
              <w:spacing w:after="0" w:line="240" w:lineRule="auto"/>
            </w:pPr>
            <w:r>
              <w:rPr>
                <w:rFonts w:ascii="Liberation Sans" w:hAnsi="Liberation Sans"/>
                <w:sz w:val="14"/>
              </w:rPr>
            </w:r>
            <w:r>
              <w:rPr>
                <w:rFonts w:ascii="Liberation Sans" w:hAnsi="Liberation Sans"/>
                <w:b w:val="0"/>
                <w:sz w:val="14"/>
              </w:rPr>
              <w:t>C</w:t>
            </w:r>
          </w:p>
        </w:tc>
        <w:tc>
          <w:tcPr>
            <w:tcW w:type="dxa" w:w="2232"/>
            <w:vAlign w:val="top"/>
          </w:tcPr>
          <w:p>
            <w:pPr>
              <w:spacing w:after="0" w:line="240" w:lineRule="auto"/>
            </w:pPr>
            <w:r>
              <w:rPr>
                <w:rFonts w:ascii="Liberation Sans" w:hAnsi="Liberation Sans"/>
                <w:sz w:val="14"/>
              </w:rPr>
            </w:r>
            <w:r>
              <w:rPr>
                <w:rFonts w:ascii="Liberation Sans" w:hAnsi="Liberation Sans"/>
                <w:b w:val="0"/>
                <w:sz w:val="14"/>
              </w:rPr>
              <w:t>Gouvernance IA et data</w:t>
            </w:r>
          </w:p>
        </w:tc>
        <w:tc>
          <w:tcPr>
            <w:tcW w:type="dxa" w:w="2448"/>
            <w:vAlign w:val="top"/>
          </w:tcPr>
          <w:p>
            <w:pPr>
              <w:spacing w:after="0" w:line="240" w:lineRule="auto"/>
            </w:pPr>
            <w:r>
              <w:rPr>
                <w:rFonts w:ascii="Liberation Sans" w:hAnsi="Liberation Sans"/>
                <w:sz w:val="14"/>
              </w:rPr>
            </w:r>
            <w:r>
              <w:rPr>
                <w:rFonts w:ascii="Liberation Sans" w:hAnsi="Liberation Sans"/>
                <w:b w:val="0"/>
                <w:sz w:val="14"/>
              </w:rPr>
              <w:t>EVP IT / AI, risk, métiers</w:t>
            </w:r>
          </w:p>
        </w:tc>
        <w:tc>
          <w:tcPr>
            <w:tcW w:type="dxa" w:w="2808"/>
            <w:vAlign w:val="top"/>
          </w:tcPr>
          <w:p>
            <w:pPr>
              <w:spacing w:after="0" w:line="240" w:lineRule="auto"/>
            </w:pPr>
            <w:r>
              <w:rPr>
                <w:rFonts w:ascii="Liberation Sans" w:hAnsi="Liberation Sans"/>
                <w:sz w:val="14"/>
              </w:rPr>
            </w:r>
            <w:r>
              <w:rPr>
                <w:rFonts w:ascii="Liberation Sans" w:hAnsi="Liberation Sans"/>
                <w:b w:val="0"/>
                <w:sz w:val="14"/>
              </w:rPr>
              <w:t>Industrialiser les cas d'usage Google / Mistral avec sécurité et mesure ROI</w:t>
            </w:r>
          </w:p>
        </w:tc>
        <w:tc>
          <w:tcPr>
            <w:tcW w:type="dxa" w:w="2520"/>
            <w:vAlign w:val="top"/>
          </w:tcPr>
          <w:p>
            <w:pPr>
              <w:spacing w:after="0" w:line="240" w:lineRule="auto"/>
            </w:pPr>
            <w:r>
              <w:rPr>
                <w:rFonts w:ascii="Liberation Sans" w:hAnsi="Liberation Sans"/>
                <w:sz w:val="14"/>
              </w:rPr>
            </w:r>
            <w:r>
              <w:rPr>
                <w:rFonts w:ascii="Liberation Sans" w:hAnsi="Liberation Sans"/>
                <w:b w:val="0"/>
                <w:sz w:val="14"/>
              </w:rPr>
              <w:t>Atelier executive : portefeuille cas d'usage + scoring valeur / risque</w:t>
            </w:r>
          </w:p>
        </w:tc>
      </w:tr>
      <w:tr>
        <w:tc>
          <w:tcPr>
            <w:tcW w:type="dxa" w:w="720"/>
            <w:vAlign w:val="top"/>
            <w:shd w:fill="F2F6FA"/>
          </w:tcPr>
          <w:p>
            <w:pPr>
              <w:spacing w:after="0" w:line="240" w:lineRule="auto"/>
            </w:pPr>
            <w:r>
              <w:rPr>
                <w:rFonts w:ascii="Liberation Sans" w:hAnsi="Liberation Sans"/>
                <w:sz w:val="14"/>
              </w:rPr>
            </w:r>
            <w:r>
              <w:rPr>
                <w:rFonts w:ascii="Liberation Sans" w:hAnsi="Liberation Sans"/>
                <w:b w:val="0"/>
                <w:sz w:val="14"/>
              </w:rPr>
              <w:t>D</w:t>
            </w:r>
          </w:p>
        </w:tc>
        <w:tc>
          <w:tcPr>
            <w:tcW w:type="dxa" w:w="2232"/>
            <w:vAlign w:val="top"/>
            <w:shd w:fill="F2F6FA"/>
          </w:tcPr>
          <w:p>
            <w:pPr>
              <w:spacing w:after="0" w:line="240" w:lineRule="auto"/>
            </w:pPr>
            <w:r>
              <w:rPr>
                <w:rFonts w:ascii="Liberation Sans" w:hAnsi="Liberation Sans"/>
                <w:sz w:val="14"/>
              </w:rPr>
            </w:r>
            <w:r>
              <w:rPr>
                <w:rFonts w:ascii="Liberation Sans" w:hAnsi="Liberation Sans"/>
                <w:b w:val="0"/>
                <w:sz w:val="14"/>
              </w:rPr>
              <w:t>Cyber supply chain</w:t>
            </w:r>
          </w:p>
        </w:tc>
        <w:tc>
          <w:tcPr>
            <w:tcW w:type="dxa" w:w="2448"/>
            <w:vAlign w:val="top"/>
            <w:shd w:fill="F2F6FA"/>
          </w:tcPr>
          <w:p>
            <w:pPr>
              <w:spacing w:after="0" w:line="240" w:lineRule="auto"/>
            </w:pPr>
            <w:r>
              <w:rPr>
                <w:rFonts w:ascii="Liberation Sans" w:hAnsi="Liberation Sans"/>
                <w:sz w:val="14"/>
              </w:rPr>
            </w:r>
            <w:r>
              <w:rPr>
                <w:rFonts w:ascii="Liberation Sans" w:hAnsi="Liberation Sans"/>
                <w:b w:val="0"/>
                <w:sz w:val="14"/>
              </w:rPr>
              <w:t>IT / cyber, achats, risk</w:t>
            </w:r>
          </w:p>
        </w:tc>
        <w:tc>
          <w:tcPr>
            <w:tcW w:type="dxa" w:w="2808"/>
            <w:vAlign w:val="top"/>
            <w:shd w:fill="F2F6FA"/>
          </w:tcPr>
          <w:p>
            <w:pPr>
              <w:spacing w:after="0" w:line="240" w:lineRule="auto"/>
            </w:pPr>
            <w:r>
              <w:rPr>
                <w:rFonts w:ascii="Liberation Sans" w:hAnsi="Liberation Sans"/>
                <w:sz w:val="14"/>
              </w:rPr>
            </w:r>
            <w:r>
              <w:rPr>
                <w:rFonts w:ascii="Liberation Sans" w:hAnsi="Liberation Sans"/>
                <w:b w:val="0"/>
                <w:sz w:val="14"/>
              </w:rPr>
              <w:t>Risque tiers, contrats, accès, EDI/API, IT/OT terminaux</w:t>
            </w:r>
          </w:p>
        </w:tc>
        <w:tc>
          <w:tcPr>
            <w:tcW w:type="dxa" w:w="2520"/>
            <w:vAlign w:val="top"/>
            <w:shd w:fill="F2F6FA"/>
          </w:tcPr>
          <w:p>
            <w:pPr>
              <w:spacing w:after="0" w:line="240" w:lineRule="auto"/>
            </w:pPr>
            <w:r>
              <w:rPr>
                <w:rFonts w:ascii="Liberation Sans" w:hAnsi="Liberation Sans"/>
                <w:sz w:val="14"/>
              </w:rPr>
            </w:r>
            <w:r>
              <w:rPr>
                <w:rFonts w:ascii="Liberation Sans" w:hAnsi="Liberation Sans"/>
                <w:b w:val="0"/>
                <w:sz w:val="14"/>
              </w:rPr>
              <w:t>Diagnostic de maturité fournisseurs critiques</w:t>
            </w:r>
          </w:p>
        </w:tc>
      </w:tr>
      <w:tr>
        <w:tc>
          <w:tcPr>
            <w:tcW w:type="dxa" w:w="720"/>
            <w:vAlign w:val="top"/>
          </w:tcPr>
          <w:p>
            <w:pPr>
              <w:spacing w:after="0" w:line="240" w:lineRule="auto"/>
            </w:pPr>
            <w:r>
              <w:rPr>
                <w:rFonts w:ascii="Liberation Sans" w:hAnsi="Liberation Sans"/>
                <w:sz w:val="14"/>
              </w:rPr>
            </w:r>
            <w:r>
              <w:rPr>
                <w:rFonts w:ascii="Liberation Sans" w:hAnsi="Liberation Sans"/>
                <w:b w:val="0"/>
                <w:sz w:val="14"/>
              </w:rPr>
              <w:t>E</w:t>
            </w:r>
          </w:p>
        </w:tc>
        <w:tc>
          <w:tcPr>
            <w:tcW w:type="dxa" w:w="2232"/>
            <w:vAlign w:val="top"/>
          </w:tcPr>
          <w:p>
            <w:pPr>
              <w:spacing w:after="0" w:line="240" w:lineRule="auto"/>
            </w:pPr>
            <w:r>
              <w:rPr>
                <w:rFonts w:ascii="Liberation Sans" w:hAnsi="Liberation Sans"/>
                <w:sz w:val="14"/>
              </w:rPr>
            </w:r>
            <w:r>
              <w:rPr>
                <w:rFonts w:ascii="Liberation Sans" w:hAnsi="Liberation Sans"/>
                <w:b w:val="0"/>
                <w:sz w:val="14"/>
              </w:rPr>
              <w:t>Performance terminaux</w:t>
            </w:r>
          </w:p>
        </w:tc>
        <w:tc>
          <w:tcPr>
            <w:tcW w:type="dxa" w:w="2448"/>
            <w:vAlign w:val="top"/>
          </w:tcPr>
          <w:p>
            <w:pPr>
              <w:spacing w:after="0" w:line="240" w:lineRule="auto"/>
            </w:pPr>
            <w:r>
              <w:rPr>
                <w:rFonts w:ascii="Liberation Sans" w:hAnsi="Liberation Sans"/>
                <w:sz w:val="14"/>
              </w:rPr>
            </w:r>
            <w:r>
              <w:rPr>
                <w:rFonts w:ascii="Liberation Sans" w:hAnsi="Liberation Sans"/>
                <w:b w:val="0"/>
                <w:sz w:val="14"/>
              </w:rPr>
              <w:t>Ports &amp; terminals, procurement, operations</w:t>
            </w:r>
          </w:p>
        </w:tc>
        <w:tc>
          <w:tcPr>
            <w:tcW w:type="dxa" w:w="2808"/>
            <w:vAlign w:val="top"/>
          </w:tcPr>
          <w:p>
            <w:pPr>
              <w:spacing w:after="0" w:line="240" w:lineRule="auto"/>
            </w:pPr>
            <w:r>
              <w:rPr>
                <w:rFonts w:ascii="Liberation Sans" w:hAnsi="Liberation Sans"/>
                <w:sz w:val="14"/>
              </w:rPr>
            </w:r>
            <w:r>
              <w:rPr>
                <w:rFonts w:ascii="Liberation Sans" w:hAnsi="Liberation Sans"/>
                <w:b w:val="0"/>
                <w:sz w:val="14"/>
              </w:rPr>
              <w:t>Capex, maintenance, productivité, contrats sous-traitants, data opérationnelle</w:t>
            </w:r>
          </w:p>
        </w:tc>
        <w:tc>
          <w:tcPr>
            <w:tcW w:type="dxa" w:w="2520"/>
            <w:vAlign w:val="top"/>
          </w:tcPr>
          <w:p>
            <w:pPr>
              <w:spacing w:after="0" w:line="240" w:lineRule="auto"/>
            </w:pPr>
            <w:r>
              <w:rPr>
                <w:rFonts w:ascii="Liberation Sans" w:hAnsi="Liberation Sans"/>
                <w:sz w:val="14"/>
              </w:rPr>
            </w:r>
            <w:r>
              <w:rPr>
                <w:rFonts w:ascii="Liberation Sans" w:hAnsi="Liberation Sans"/>
                <w:b w:val="0"/>
                <w:sz w:val="14"/>
              </w:rPr>
              <w:t>Angle United Ports : standardisation et contrôle</w:t>
            </w:r>
          </w:p>
        </w:tc>
      </w:tr>
      <w:tr>
        <w:tc>
          <w:tcPr>
            <w:tcW w:type="dxa" w:w="720"/>
            <w:vAlign w:val="top"/>
            <w:shd w:fill="F2F6FA"/>
          </w:tcPr>
          <w:p>
            <w:pPr>
              <w:spacing w:after="0" w:line="240" w:lineRule="auto"/>
            </w:pPr>
            <w:r>
              <w:rPr>
                <w:rFonts w:ascii="Liberation Sans" w:hAnsi="Liberation Sans"/>
                <w:sz w:val="14"/>
              </w:rPr>
            </w:r>
            <w:r>
              <w:rPr>
                <w:rFonts w:ascii="Liberation Sans" w:hAnsi="Liberation Sans"/>
                <w:b w:val="0"/>
                <w:sz w:val="14"/>
              </w:rPr>
              <w:t>F</w:t>
            </w:r>
          </w:p>
        </w:tc>
        <w:tc>
          <w:tcPr>
            <w:tcW w:type="dxa" w:w="2232"/>
            <w:vAlign w:val="top"/>
            <w:shd w:fill="F2F6FA"/>
          </w:tcPr>
          <w:p>
            <w:pPr>
              <w:spacing w:after="0" w:line="240" w:lineRule="auto"/>
            </w:pPr>
            <w:r>
              <w:rPr>
                <w:rFonts w:ascii="Liberation Sans" w:hAnsi="Liberation Sans"/>
                <w:sz w:val="14"/>
              </w:rPr>
            </w:r>
            <w:r>
              <w:rPr>
                <w:rFonts w:ascii="Liberation Sans" w:hAnsi="Liberation Sans"/>
                <w:b w:val="0"/>
                <w:sz w:val="14"/>
              </w:rPr>
              <w:t>Shared services / P2P</w:t>
            </w:r>
          </w:p>
        </w:tc>
        <w:tc>
          <w:tcPr>
            <w:tcW w:type="dxa" w:w="2448"/>
            <w:vAlign w:val="top"/>
            <w:shd w:fill="F2F6FA"/>
          </w:tcPr>
          <w:p>
            <w:pPr>
              <w:spacing w:after="0" w:line="240" w:lineRule="auto"/>
            </w:pPr>
            <w:r>
              <w:rPr>
                <w:rFonts w:ascii="Liberation Sans" w:hAnsi="Liberation Sans"/>
                <w:sz w:val="14"/>
              </w:rPr>
            </w:r>
            <w:r>
              <w:rPr>
                <w:rFonts w:ascii="Liberation Sans" w:hAnsi="Liberation Sans"/>
                <w:b w:val="0"/>
                <w:sz w:val="14"/>
              </w:rPr>
              <w:t>Nadine Jaudet, finance, procurement</w:t>
            </w:r>
          </w:p>
        </w:tc>
        <w:tc>
          <w:tcPr>
            <w:tcW w:type="dxa" w:w="2808"/>
            <w:vAlign w:val="top"/>
            <w:shd w:fill="F2F6FA"/>
          </w:tcPr>
          <w:p>
            <w:pPr>
              <w:spacing w:after="0" w:line="240" w:lineRule="auto"/>
            </w:pPr>
            <w:r>
              <w:rPr>
                <w:rFonts w:ascii="Liberation Sans" w:hAnsi="Liberation Sans"/>
                <w:sz w:val="14"/>
              </w:rPr>
            </w:r>
            <w:r>
              <w:rPr>
                <w:rFonts w:ascii="Liberation Sans" w:hAnsi="Liberation Sans"/>
                <w:b w:val="0"/>
                <w:sz w:val="14"/>
              </w:rPr>
              <w:t>Automatisation P2P, qualité facture, master data fournisseurs, contrôles</w:t>
            </w:r>
          </w:p>
        </w:tc>
        <w:tc>
          <w:tcPr>
            <w:tcW w:type="dxa" w:w="2520"/>
            <w:vAlign w:val="top"/>
            <w:shd w:fill="F2F6FA"/>
          </w:tcPr>
          <w:p>
            <w:pPr>
              <w:spacing w:after="0" w:line="240" w:lineRule="auto"/>
            </w:pPr>
            <w:r>
              <w:rPr>
                <w:rFonts w:ascii="Liberation Sans" w:hAnsi="Liberation Sans"/>
                <w:sz w:val="14"/>
              </w:rPr>
            </w:r>
            <w:r>
              <w:rPr>
                <w:rFonts w:ascii="Liberation Sans" w:hAnsi="Liberation Sans"/>
                <w:b w:val="0"/>
                <w:sz w:val="14"/>
              </w:rPr>
              <w:t>Pilote sur anomalie factures / référentiels</w:t>
            </w:r>
          </w:p>
        </w:tc>
      </w:tr>
    </w:tbl>
    <w:p/>
    <w:p>
      <w:pPr>
        <w:pStyle w:val="Heading2"/>
      </w:pPr>
      <w:r>
        <w:rPr>
          <w:rFonts w:ascii="Liberation Sans" w:hAnsi="Liberation Sans"/>
          <w:color w:val="1F4E79"/>
          <w:sz w:val="28"/>
        </w:rPr>
        <w:t>8.1 Proposition de valeur compte</w:t>
      </w:r>
    </w:p>
    <w:tbl>
      <w:tblPr>
        <w:tblW w:type="auto" w:w="0"/>
        <w:jc w:val="center"/>
        <w:tblLayout w:type="fixed"/>
        <w:tblLook w:firstColumn="1" w:firstRow="1" w:lastColumn="0" w:lastRow="0" w:noHBand="0" w:noVBand="1" w:val="04A0"/>
      </w:tblPr>
      <w:tblGrid>
        <w:gridCol w:w="10318"/>
      </w:tblGrid>
      <w:tr>
        <w:tc>
          <w:tcPr>
            <w:tcW w:type="dxa" w:w="9576"/>
            <w:shd w:fill="E2F0D9"/>
          </w:tcPr>
          <w:p>
            <w:pPr>
              <w:spacing w:after="40"/>
            </w:pPr>
            <w:r>
              <w:rPr>
                <w:rFonts w:ascii="Liberation Sans" w:hAnsi="Liberation Sans"/>
                <w:b/>
                <w:color w:val="0B1F3A"/>
                <w:sz w:val="19"/>
              </w:rPr>
              <w:t>Proposition de valeur recommandée</w:t>
            </w:r>
          </w:p>
          <w:p>
            <w:pPr>
              <w:spacing w:after="0"/>
            </w:pPr>
            <w:r>
              <w:rPr>
                <w:rFonts w:ascii="Liberation Sans" w:hAnsi="Liberation Sans"/>
                <w:sz w:val="17"/>
              </w:rPr>
              <w:t>Aider CMA CGM à convertir sa transformation globale en gains mesurables : réduire les fuites de valeur fournisseurs, sécuriser les contrats et les tiers critiques, industrialiser l'IA dans les opérations, et renforcer la performance des fonctions achats / IT / finance dans un contexte d'intégration et de volatilité mondiale.</w:t>
            </w:r>
          </w:p>
        </w:tc>
      </w:tr>
    </w:tbl>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180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Cible</w:t>
            </w:r>
          </w:p>
        </w:tc>
        <w:tc>
          <w:tcPr>
            <w:tcW w:type="dxa" w:w="4824"/>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Message</w:t>
            </w:r>
          </w:p>
        </w:tc>
        <w:tc>
          <w:tcPr>
            <w:tcW w:type="dxa" w:w="2880"/>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Preuves à préparer</w:t>
            </w:r>
          </w:p>
        </w:tc>
      </w:tr>
      <w:tr>
        <w:tc>
          <w:tcPr>
            <w:tcW w:type="dxa" w:w="1800"/>
            <w:vAlign w:val="top"/>
          </w:tcPr>
          <w:p>
            <w:pPr>
              <w:spacing w:after="0" w:line="240" w:lineRule="auto"/>
            </w:pPr>
            <w:r>
              <w:rPr>
                <w:rFonts w:ascii="Liberation Sans" w:hAnsi="Liberation Sans"/>
                <w:sz w:val="15"/>
              </w:rPr>
            </w:r>
            <w:r>
              <w:rPr>
                <w:rFonts w:ascii="Liberation Sans" w:hAnsi="Liberation Sans"/>
                <w:b w:val="0"/>
                <w:sz w:val="15"/>
              </w:rPr>
              <w:t>Pour les achats</w:t>
            </w:r>
          </w:p>
        </w:tc>
        <w:tc>
          <w:tcPr>
            <w:tcW w:type="dxa" w:w="4824"/>
            <w:vAlign w:val="top"/>
          </w:tcPr>
          <w:p>
            <w:pPr>
              <w:spacing w:after="0" w:line="240" w:lineRule="auto"/>
            </w:pPr>
            <w:r>
              <w:rPr>
                <w:rFonts w:ascii="Liberation Sans" w:hAnsi="Liberation Sans"/>
                <w:sz w:val="15"/>
              </w:rPr>
            </w:r>
            <w:r>
              <w:rPr>
                <w:rFonts w:ascii="Liberation Sans" w:hAnsi="Liberation Sans"/>
                <w:b w:val="0"/>
                <w:sz w:val="15"/>
              </w:rPr>
              <w:t>Vous pilotez un volume et une complexité fournisseurs exceptionnels. Nous pouvons sécuriser la valeur négociée, réduire les anomalies et fiabiliser la gouvernance fournisseur.</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Audit dépenses, CLM, supplier risk, SRM, P2P</w:t>
            </w:r>
          </w:p>
        </w:tc>
      </w:tr>
      <w:tr>
        <w:tc>
          <w:tcPr>
            <w:tcW w:type="dxa" w:w="1800"/>
            <w:vAlign w:val="top"/>
            <w:shd w:fill="F2F6FA"/>
          </w:tcPr>
          <w:p>
            <w:pPr>
              <w:spacing w:after="0" w:line="240" w:lineRule="auto"/>
            </w:pPr>
            <w:r>
              <w:rPr>
                <w:rFonts w:ascii="Liberation Sans" w:hAnsi="Liberation Sans"/>
                <w:sz w:val="15"/>
              </w:rPr>
            </w:r>
            <w:r>
              <w:rPr>
                <w:rFonts w:ascii="Liberation Sans" w:hAnsi="Liberation Sans"/>
                <w:b w:val="0"/>
                <w:sz w:val="15"/>
              </w:rPr>
              <w:t>Pour l'IT / IA</w:t>
            </w:r>
          </w:p>
        </w:tc>
        <w:tc>
          <w:tcPr>
            <w:tcW w:type="dxa" w:w="4824"/>
            <w:vAlign w:val="top"/>
            <w:shd w:fill="F2F6FA"/>
          </w:tcPr>
          <w:p>
            <w:pPr>
              <w:spacing w:after="0" w:line="240" w:lineRule="auto"/>
            </w:pPr>
            <w:r>
              <w:rPr>
                <w:rFonts w:ascii="Liberation Sans" w:hAnsi="Liberation Sans"/>
                <w:sz w:val="15"/>
              </w:rPr>
            </w:r>
            <w:r>
              <w:rPr>
                <w:rFonts w:ascii="Liberation Sans" w:hAnsi="Liberation Sans"/>
                <w:b w:val="0"/>
                <w:sz w:val="15"/>
              </w:rPr>
              <w:t>Vos partenariats IA sont stratégiques ; l'enjeu est de les rendre gouvernés, sécurisés, adoptés par les métiers et mesurables.</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Gouvernance IA, data quality, cyber, change, automatisation</w:t>
            </w:r>
          </w:p>
        </w:tc>
      </w:tr>
      <w:tr>
        <w:tc>
          <w:tcPr>
            <w:tcW w:type="dxa" w:w="1800"/>
            <w:vAlign w:val="top"/>
          </w:tcPr>
          <w:p>
            <w:pPr>
              <w:spacing w:after="0" w:line="240" w:lineRule="auto"/>
            </w:pPr>
            <w:r>
              <w:rPr>
                <w:rFonts w:ascii="Liberation Sans" w:hAnsi="Liberation Sans"/>
                <w:sz w:val="15"/>
              </w:rPr>
            </w:r>
            <w:r>
              <w:rPr>
                <w:rFonts w:ascii="Liberation Sans" w:hAnsi="Liberation Sans"/>
                <w:b w:val="0"/>
                <w:sz w:val="15"/>
              </w:rPr>
              <w:t>Pour la finance / risk</w:t>
            </w:r>
          </w:p>
        </w:tc>
        <w:tc>
          <w:tcPr>
            <w:tcW w:type="dxa" w:w="4824"/>
            <w:vAlign w:val="top"/>
          </w:tcPr>
          <w:p>
            <w:pPr>
              <w:spacing w:after="0" w:line="240" w:lineRule="auto"/>
            </w:pPr>
            <w:r>
              <w:rPr>
                <w:rFonts w:ascii="Liberation Sans" w:hAnsi="Liberation Sans"/>
                <w:sz w:val="15"/>
              </w:rPr>
            </w:r>
            <w:r>
              <w:rPr>
                <w:rFonts w:ascii="Liberation Sans" w:hAnsi="Liberation Sans"/>
                <w:b w:val="0"/>
                <w:sz w:val="15"/>
              </w:rPr>
              <w:t>La croissance externe et la volatilité créent des zones de fuite et de risque. Nous pouvons objectiver les pertes, prioriser les contrôles et réduire les expositions.</w:t>
            </w:r>
          </w:p>
        </w:tc>
        <w:tc>
          <w:tcPr>
            <w:tcW w:type="dxa" w:w="2880"/>
            <w:vAlign w:val="top"/>
          </w:tcPr>
          <w:p>
            <w:pPr>
              <w:spacing w:after="0" w:line="240" w:lineRule="auto"/>
            </w:pPr>
            <w:r>
              <w:rPr>
                <w:rFonts w:ascii="Liberation Sans" w:hAnsi="Liberation Sans"/>
                <w:sz w:val="15"/>
              </w:rPr>
            </w:r>
            <w:r>
              <w:rPr>
                <w:rFonts w:ascii="Liberation Sans" w:hAnsi="Liberation Sans"/>
                <w:b w:val="0"/>
                <w:sz w:val="15"/>
              </w:rPr>
              <w:t>Recovery, contrôles, reporting, risk, audit</w:t>
            </w:r>
          </w:p>
        </w:tc>
      </w:tr>
      <w:tr>
        <w:tc>
          <w:tcPr>
            <w:tcW w:type="dxa" w:w="1800"/>
            <w:vAlign w:val="top"/>
            <w:shd w:fill="F2F6FA"/>
          </w:tcPr>
          <w:p>
            <w:pPr>
              <w:spacing w:after="0" w:line="240" w:lineRule="auto"/>
            </w:pPr>
            <w:r>
              <w:rPr>
                <w:rFonts w:ascii="Liberation Sans" w:hAnsi="Liberation Sans"/>
                <w:sz w:val="15"/>
              </w:rPr>
            </w:r>
            <w:r>
              <w:rPr>
                <w:rFonts w:ascii="Liberation Sans" w:hAnsi="Liberation Sans"/>
                <w:b w:val="0"/>
                <w:sz w:val="15"/>
              </w:rPr>
              <w:t>Pour les opérations</w:t>
            </w:r>
          </w:p>
        </w:tc>
        <w:tc>
          <w:tcPr>
            <w:tcW w:type="dxa" w:w="4824"/>
            <w:vAlign w:val="top"/>
            <w:shd w:fill="F2F6FA"/>
          </w:tcPr>
          <w:p>
            <w:pPr>
              <w:spacing w:after="0" w:line="240" w:lineRule="auto"/>
            </w:pPr>
            <w:r>
              <w:rPr>
                <w:rFonts w:ascii="Liberation Sans" w:hAnsi="Liberation Sans"/>
                <w:sz w:val="15"/>
              </w:rPr>
            </w:r>
            <w:r>
              <w:rPr>
                <w:rFonts w:ascii="Liberation Sans" w:hAnsi="Liberation Sans"/>
                <w:b w:val="0"/>
                <w:sz w:val="15"/>
              </w:rPr>
              <w:t>Les terminaux, agences et flux shipping exigent un niveau de performance continu. Nous pouvons identifier les gisements de productivité et fiabiliser l'exécution.</w:t>
            </w:r>
          </w:p>
        </w:tc>
        <w:tc>
          <w:tcPr>
            <w:tcW w:type="dxa" w:w="2880"/>
            <w:vAlign w:val="top"/>
            <w:shd w:fill="F2F6FA"/>
          </w:tcPr>
          <w:p>
            <w:pPr>
              <w:spacing w:after="0" w:line="240" w:lineRule="auto"/>
            </w:pPr>
            <w:r>
              <w:rPr>
                <w:rFonts w:ascii="Liberation Sans" w:hAnsi="Liberation Sans"/>
                <w:sz w:val="15"/>
              </w:rPr>
            </w:r>
            <w:r>
              <w:rPr>
                <w:rFonts w:ascii="Liberation Sans" w:hAnsi="Liberation Sans"/>
                <w:b w:val="0"/>
                <w:sz w:val="15"/>
              </w:rPr>
              <w:t>Process mining, analyse opérationnelle, performance fournisseurs</w:t>
            </w:r>
          </w:p>
        </w:tc>
      </w:tr>
    </w:tbl>
    <w:p/>
    <w:p>
      <w:pPr>
        <w:pStyle w:val="Heading1"/>
      </w:pPr>
      <w:r>
        <w:rPr>
          <w:rFonts w:ascii="Liberation Sans" w:hAnsi="Liberation Sans"/>
          <w:color w:val="0B1F3A"/>
          <w:sz w:val="36"/>
        </w:rPr>
        <w:t>9. Plan d'action commercial 90 jours</w:t>
      </w:r>
    </w:p>
    <w:tbl>
      <w:tblPr>
        <w:tblStyle w:val="TableGrid"/>
        <w:tblW w:type="auto" w:w="0"/>
        <w:jc w:val="center"/>
        <w:tblLayout w:type="fixed"/>
        <w:tblLook w:firstColumn="1" w:firstRow="1" w:lastColumn="0" w:lastRow="0" w:noHBand="0" w:noVBand="1" w:val="04A0"/>
      </w:tblPr>
      <w:tblGrid>
        <w:gridCol w:w="2579"/>
        <w:gridCol w:w="2579"/>
        <w:gridCol w:w="2579"/>
        <w:gridCol w:w="2579"/>
      </w:tblGrid>
      <w:tr>
        <w:trPr>
          <w:tblHeader w:val="true"/>
        </w:trPr>
        <w:tc>
          <w:tcPr>
            <w:tcW w:type="dxa" w:w="1296"/>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Période</w:t>
            </w:r>
          </w:p>
        </w:tc>
        <w:tc>
          <w:tcPr>
            <w:tcW w:type="dxa" w:w="1440"/>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Objectif</w:t>
            </w:r>
          </w:p>
        </w:tc>
        <w:tc>
          <w:tcPr>
            <w:tcW w:type="dxa" w:w="4752"/>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Actions</w:t>
            </w:r>
          </w:p>
        </w:tc>
        <w:tc>
          <w:tcPr>
            <w:tcW w:type="dxa" w:w="2015"/>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Livrable</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Semaine 1-2</w:t>
            </w:r>
          </w:p>
        </w:tc>
        <w:tc>
          <w:tcPr>
            <w:tcW w:type="dxa" w:w="1440"/>
            <w:vAlign w:val="top"/>
          </w:tcPr>
          <w:p>
            <w:pPr>
              <w:spacing w:after="0" w:line="240" w:lineRule="auto"/>
            </w:pPr>
            <w:r>
              <w:rPr>
                <w:rFonts w:ascii="Liberation Sans" w:hAnsi="Liberation Sans"/>
                <w:sz w:val="15"/>
              </w:rPr>
            </w:r>
            <w:r>
              <w:rPr>
                <w:rFonts w:ascii="Liberation Sans" w:hAnsi="Liberation Sans"/>
                <w:b w:val="0"/>
                <w:sz w:val="15"/>
              </w:rPr>
              <w:t>Préparer</w:t>
            </w:r>
          </w:p>
        </w:tc>
        <w:tc>
          <w:tcPr>
            <w:tcW w:type="dxa" w:w="4752"/>
            <w:vAlign w:val="top"/>
          </w:tcPr>
          <w:p>
            <w:pPr>
              <w:spacing w:after="0" w:line="240" w:lineRule="auto"/>
            </w:pPr>
            <w:r>
              <w:rPr>
                <w:rFonts w:ascii="Liberation Sans" w:hAnsi="Liberation Sans"/>
                <w:sz w:val="15"/>
              </w:rPr>
            </w:r>
            <w:r>
              <w:rPr>
                <w:rFonts w:ascii="Liberation Sans" w:hAnsi="Liberation Sans"/>
                <w:b w:val="0"/>
                <w:sz w:val="15"/>
              </w:rPr>
              <w:t>Consolider CRM, relations existantes, références logistique / transport / achats / IT, cas clients et business case court.</w:t>
            </w:r>
          </w:p>
        </w:tc>
        <w:tc>
          <w:tcPr>
            <w:tcW w:type="dxa" w:w="2015"/>
            <w:vAlign w:val="top"/>
          </w:tcPr>
          <w:p>
            <w:pPr>
              <w:spacing w:after="0" w:line="240" w:lineRule="auto"/>
            </w:pPr>
            <w:r>
              <w:rPr>
                <w:rFonts w:ascii="Liberation Sans" w:hAnsi="Liberation Sans"/>
                <w:sz w:val="15"/>
              </w:rPr>
            </w:r>
            <w:r>
              <w:rPr>
                <w:rFonts w:ascii="Liberation Sans" w:hAnsi="Liberation Sans"/>
                <w:b w:val="0"/>
                <w:sz w:val="15"/>
              </w:rPr>
              <w:t>Compte mapping validé</w:t>
            </w:r>
          </w:p>
        </w:tc>
      </w:tr>
      <w:tr>
        <w:tc>
          <w:tcPr>
            <w:tcW w:type="dxa" w:w="1296"/>
            <w:vAlign w:val="top"/>
            <w:shd w:fill="F2F6FA"/>
          </w:tcPr>
          <w:p>
            <w:pPr>
              <w:spacing w:after="0" w:line="240" w:lineRule="auto"/>
            </w:pPr>
            <w:r>
              <w:rPr>
                <w:rFonts w:ascii="Liberation Sans" w:hAnsi="Liberation Sans"/>
                <w:sz w:val="15"/>
              </w:rPr>
            </w:r>
            <w:r>
              <w:rPr>
                <w:rFonts w:ascii="Liberation Sans" w:hAnsi="Liberation Sans"/>
                <w:b w:val="0"/>
                <w:sz w:val="15"/>
              </w:rPr>
              <w:t>Semaine 2-4</w:t>
            </w:r>
          </w:p>
        </w:tc>
        <w:tc>
          <w:tcPr>
            <w:tcW w:type="dxa" w:w="1440"/>
            <w:vAlign w:val="top"/>
            <w:shd w:fill="F2F6FA"/>
          </w:tcPr>
          <w:p>
            <w:pPr>
              <w:spacing w:after="0" w:line="240" w:lineRule="auto"/>
            </w:pPr>
            <w:r>
              <w:rPr>
                <w:rFonts w:ascii="Liberation Sans" w:hAnsi="Liberation Sans"/>
                <w:sz w:val="15"/>
              </w:rPr>
            </w:r>
            <w:r>
              <w:rPr>
                <w:rFonts w:ascii="Liberation Sans" w:hAnsi="Liberation Sans"/>
                <w:b w:val="0"/>
                <w:sz w:val="15"/>
              </w:rPr>
              <w:t>Créer accès</w:t>
            </w:r>
          </w:p>
        </w:tc>
        <w:tc>
          <w:tcPr>
            <w:tcW w:type="dxa" w:w="4752"/>
            <w:vAlign w:val="top"/>
            <w:shd w:fill="F2F6FA"/>
          </w:tcPr>
          <w:p>
            <w:pPr>
              <w:spacing w:after="0" w:line="240" w:lineRule="auto"/>
            </w:pPr>
            <w:r>
              <w:rPr>
                <w:rFonts w:ascii="Liberation Sans" w:hAnsi="Liberation Sans"/>
                <w:sz w:val="15"/>
              </w:rPr>
            </w:r>
            <w:r>
              <w:rPr>
                <w:rFonts w:ascii="Liberation Sans" w:hAnsi="Liberation Sans"/>
                <w:b w:val="0"/>
                <w:sz w:val="15"/>
              </w:rPr>
              <w:t>Activer 3 portes : Achats groupe, IT / AI / Cyber, Finance / Risk. Utiliser événements achats, LinkedIn, réseau Marseille / Paris.</w:t>
            </w:r>
          </w:p>
        </w:tc>
        <w:tc>
          <w:tcPr>
            <w:tcW w:type="dxa" w:w="2015"/>
            <w:vAlign w:val="top"/>
            <w:shd w:fill="F2F6FA"/>
          </w:tcPr>
          <w:p>
            <w:pPr>
              <w:spacing w:after="0" w:line="240" w:lineRule="auto"/>
            </w:pPr>
            <w:r>
              <w:rPr>
                <w:rFonts w:ascii="Liberation Sans" w:hAnsi="Liberation Sans"/>
                <w:sz w:val="15"/>
              </w:rPr>
            </w:r>
            <w:r>
              <w:rPr>
                <w:rFonts w:ascii="Liberation Sans" w:hAnsi="Liberation Sans"/>
                <w:b w:val="0"/>
                <w:sz w:val="15"/>
              </w:rPr>
              <w:t>3 conversations qualifiées</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Mois 2</w:t>
            </w:r>
          </w:p>
        </w:tc>
        <w:tc>
          <w:tcPr>
            <w:tcW w:type="dxa" w:w="1440"/>
            <w:vAlign w:val="top"/>
          </w:tcPr>
          <w:p>
            <w:pPr>
              <w:spacing w:after="0" w:line="240" w:lineRule="auto"/>
            </w:pPr>
            <w:r>
              <w:rPr>
                <w:rFonts w:ascii="Liberation Sans" w:hAnsi="Liberation Sans"/>
                <w:sz w:val="15"/>
              </w:rPr>
            </w:r>
            <w:r>
              <w:rPr>
                <w:rFonts w:ascii="Liberation Sans" w:hAnsi="Liberation Sans"/>
                <w:b w:val="0"/>
                <w:sz w:val="15"/>
              </w:rPr>
              <w:t>Qualifier</w:t>
            </w:r>
          </w:p>
        </w:tc>
        <w:tc>
          <w:tcPr>
            <w:tcW w:type="dxa" w:w="4752"/>
            <w:vAlign w:val="top"/>
          </w:tcPr>
          <w:p>
            <w:pPr>
              <w:spacing w:after="0" w:line="240" w:lineRule="auto"/>
            </w:pPr>
            <w:r>
              <w:rPr>
                <w:rFonts w:ascii="Liberation Sans" w:hAnsi="Liberation Sans"/>
                <w:sz w:val="15"/>
              </w:rPr>
            </w:r>
            <w:r>
              <w:rPr>
                <w:rFonts w:ascii="Liberation Sans" w:hAnsi="Liberation Sans"/>
                <w:b w:val="0"/>
                <w:sz w:val="15"/>
              </w:rPr>
              <w:t>Mener ateliers séparés : achats / contrats, IA / data / cyber, P2P / recovery. Identifier sponsor et données disponibles.</w:t>
            </w:r>
          </w:p>
        </w:tc>
        <w:tc>
          <w:tcPr>
            <w:tcW w:type="dxa" w:w="2015"/>
            <w:vAlign w:val="top"/>
          </w:tcPr>
          <w:p>
            <w:pPr>
              <w:spacing w:after="0" w:line="240" w:lineRule="auto"/>
            </w:pPr>
            <w:r>
              <w:rPr>
                <w:rFonts w:ascii="Liberation Sans" w:hAnsi="Liberation Sans"/>
                <w:sz w:val="15"/>
              </w:rPr>
            </w:r>
            <w:r>
              <w:rPr>
                <w:rFonts w:ascii="Liberation Sans" w:hAnsi="Liberation Sans"/>
                <w:b w:val="0"/>
                <w:sz w:val="15"/>
              </w:rPr>
              <w:t>1 à 2 douleurs chiffrées</w:t>
            </w:r>
          </w:p>
        </w:tc>
      </w:tr>
      <w:tr>
        <w:tc>
          <w:tcPr>
            <w:tcW w:type="dxa" w:w="1296"/>
            <w:vAlign w:val="top"/>
            <w:shd w:fill="F2F6FA"/>
          </w:tcPr>
          <w:p>
            <w:pPr>
              <w:spacing w:after="0" w:line="240" w:lineRule="auto"/>
            </w:pPr>
            <w:r>
              <w:rPr>
                <w:rFonts w:ascii="Liberation Sans" w:hAnsi="Liberation Sans"/>
                <w:sz w:val="15"/>
              </w:rPr>
            </w:r>
            <w:r>
              <w:rPr>
                <w:rFonts w:ascii="Liberation Sans" w:hAnsi="Liberation Sans"/>
                <w:b w:val="0"/>
                <w:sz w:val="15"/>
              </w:rPr>
              <w:t>Mois 2-3</w:t>
            </w:r>
          </w:p>
        </w:tc>
        <w:tc>
          <w:tcPr>
            <w:tcW w:type="dxa" w:w="1440"/>
            <w:vAlign w:val="top"/>
            <w:shd w:fill="F2F6FA"/>
          </w:tcPr>
          <w:p>
            <w:pPr>
              <w:spacing w:after="0" w:line="240" w:lineRule="auto"/>
            </w:pPr>
            <w:r>
              <w:rPr>
                <w:rFonts w:ascii="Liberation Sans" w:hAnsi="Liberation Sans"/>
                <w:sz w:val="15"/>
              </w:rPr>
            </w:r>
            <w:r>
              <w:rPr>
                <w:rFonts w:ascii="Liberation Sans" w:hAnsi="Liberation Sans"/>
                <w:b w:val="0"/>
                <w:sz w:val="15"/>
              </w:rPr>
              <w:t>Proposer pilote</w:t>
            </w:r>
          </w:p>
        </w:tc>
        <w:tc>
          <w:tcPr>
            <w:tcW w:type="dxa" w:w="4752"/>
            <w:vAlign w:val="top"/>
            <w:shd w:fill="F2F6FA"/>
          </w:tcPr>
          <w:p>
            <w:pPr>
              <w:spacing w:after="0" w:line="240" w:lineRule="auto"/>
            </w:pPr>
            <w:r>
              <w:rPr>
                <w:rFonts w:ascii="Liberation Sans" w:hAnsi="Liberation Sans"/>
                <w:sz w:val="15"/>
              </w:rPr>
            </w:r>
            <w:r>
              <w:rPr>
                <w:rFonts w:ascii="Liberation Sans" w:hAnsi="Liberation Sans"/>
                <w:b w:val="0"/>
                <w:sz w:val="15"/>
              </w:rPr>
              <w:t>Pilote restreint : catégorie fournisseur, périmètre pays, corpus contrats, flux factures ou cas IA précis.</w:t>
            </w:r>
          </w:p>
        </w:tc>
        <w:tc>
          <w:tcPr>
            <w:tcW w:type="dxa" w:w="2015"/>
            <w:vAlign w:val="top"/>
            <w:shd w:fill="F2F6FA"/>
          </w:tcPr>
          <w:p>
            <w:pPr>
              <w:spacing w:after="0" w:line="240" w:lineRule="auto"/>
            </w:pPr>
            <w:r>
              <w:rPr>
                <w:rFonts w:ascii="Liberation Sans" w:hAnsi="Liberation Sans"/>
                <w:sz w:val="15"/>
              </w:rPr>
            </w:r>
            <w:r>
              <w:rPr>
                <w:rFonts w:ascii="Liberation Sans" w:hAnsi="Liberation Sans"/>
                <w:b w:val="0"/>
                <w:sz w:val="15"/>
              </w:rPr>
              <w:t>Note de cadrage + ROI</w:t>
            </w:r>
          </w:p>
        </w:tc>
      </w:tr>
      <w:tr>
        <w:tc>
          <w:tcPr>
            <w:tcW w:type="dxa" w:w="1296"/>
            <w:vAlign w:val="top"/>
          </w:tcPr>
          <w:p>
            <w:pPr>
              <w:spacing w:after="0" w:line="240" w:lineRule="auto"/>
            </w:pPr>
            <w:r>
              <w:rPr>
                <w:rFonts w:ascii="Liberation Sans" w:hAnsi="Liberation Sans"/>
                <w:sz w:val="15"/>
              </w:rPr>
            </w:r>
            <w:r>
              <w:rPr>
                <w:rFonts w:ascii="Liberation Sans" w:hAnsi="Liberation Sans"/>
                <w:b w:val="0"/>
                <w:sz w:val="15"/>
              </w:rPr>
              <w:t>Mois 3</w:t>
            </w:r>
          </w:p>
        </w:tc>
        <w:tc>
          <w:tcPr>
            <w:tcW w:type="dxa" w:w="1440"/>
            <w:vAlign w:val="top"/>
          </w:tcPr>
          <w:p>
            <w:pPr>
              <w:spacing w:after="0" w:line="240" w:lineRule="auto"/>
            </w:pPr>
            <w:r>
              <w:rPr>
                <w:rFonts w:ascii="Liberation Sans" w:hAnsi="Liberation Sans"/>
                <w:sz w:val="15"/>
              </w:rPr>
            </w:r>
            <w:r>
              <w:rPr>
                <w:rFonts w:ascii="Liberation Sans" w:hAnsi="Liberation Sans"/>
                <w:b w:val="0"/>
                <w:sz w:val="15"/>
              </w:rPr>
              <w:t>Sécuriser sponsor</w:t>
            </w:r>
          </w:p>
        </w:tc>
        <w:tc>
          <w:tcPr>
            <w:tcW w:type="dxa" w:w="4752"/>
            <w:vAlign w:val="top"/>
          </w:tcPr>
          <w:p>
            <w:pPr>
              <w:spacing w:after="0" w:line="240" w:lineRule="auto"/>
            </w:pPr>
            <w:r>
              <w:rPr>
                <w:rFonts w:ascii="Liberation Sans" w:hAnsi="Liberation Sans"/>
                <w:sz w:val="15"/>
              </w:rPr>
            </w:r>
            <w:r>
              <w:rPr>
                <w:rFonts w:ascii="Liberation Sans" w:hAnsi="Liberation Sans"/>
                <w:b w:val="0"/>
                <w:sz w:val="15"/>
              </w:rPr>
              <w:t>Restitution exécutive : valeur capturée, risques, plan de généralisation, gouvernance, effort interne.</w:t>
            </w:r>
          </w:p>
        </w:tc>
        <w:tc>
          <w:tcPr>
            <w:tcW w:type="dxa" w:w="2015"/>
            <w:vAlign w:val="top"/>
          </w:tcPr>
          <w:p>
            <w:pPr>
              <w:spacing w:after="0" w:line="240" w:lineRule="auto"/>
            </w:pPr>
            <w:r>
              <w:rPr>
                <w:rFonts w:ascii="Liberation Sans" w:hAnsi="Liberation Sans"/>
                <w:sz w:val="15"/>
              </w:rPr>
            </w:r>
            <w:r>
              <w:rPr>
                <w:rFonts w:ascii="Liberation Sans" w:hAnsi="Liberation Sans"/>
                <w:b w:val="0"/>
                <w:sz w:val="15"/>
              </w:rPr>
              <w:t>Sponsor + next step achats</w:t>
            </w:r>
          </w:p>
        </w:tc>
      </w:tr>
    </w:tbl>
    <w:p/>
    <w:p>
      <w:pPr>
        <w:pStyle w:val="Heading2"/>
      </w:pPr>
      <w:r>
        <w:rPr>
          <w:rFonts w:ascii="Liberation Sans" w:hAnsi="Liberation Sans"/>
          <w:color w:val="1F4E79"/>
          <w:sz w:val="28"/>
        </w:rPr>
        <w:t>9.1 Séquence de contact recommandée</w:t>
      </w:r>
    </w:p>
    <w:p>
      <w:pPr>
        <w:pStyle w:val="ListBullet"/>
        <w:spacing w:after="40"/>
      </w:pPr>
      <w:r>
        <w:rPr>
          <w:rFonts w:ascii="Liberation Sans" w:hAnsi="Liberation Sans"/>
          <w:sz w:val="18"/>
        </w:rPr>
        <w:t>Message 1 - Achats : proposer un échange de 25 minutes sur la sécurisation de la valeur contrats-factures et la réduction des fuites fournisseurs.</w:t>
      </w:r>
    </w:p>
    <w:p>
      <w:pPr>
        <w:pStyle w:val="ListBullet"/>
        <w:spacing w:after="40"/>
      </w:pPr>
      <w:r>
        <w:rPr>
          <w:rFonts w:ascii="Liberation Sans" w:hAnsi="Liberation Sans"/>
          <w:sz w:val="18"/>
        </w:rPr>
        <w:t>Message 2 - IT / IA : proposer un atelier de cadrage sur la gouvernance des cas d'usage IA, la qualité data et les risques cyber associés aux tiers.</w:t>
      </w:r>
    </w:p>
    <w:p>
      <w:pPr>
        <w:pStyle w:val="ListBullet"/>
        <w:spacing w:after="40"/>
      </w:pPr>
      <w:r>
        <w:rPr>
          <w:rFonts w:ascii="Liberation Sans" w:hAnsi="Liberation Sans"/>
          <w:sz w:val="18"/>
        </w:rPr>
        <w:t>Message 3 - Finance / risk : proposer un diagnostic à faible charge pour objectiver les anomalies et expositions fournisseurs sur un périmètre pilote.</w:t>
      </w:r>
    </w:p>
    <w:p>
      <w:pPr>
        <w:pStyle w:val="ListBullet"/>
        <w:spacing w:after="40"/>
      </w:pPr>
      <w:r>
        <w:rPr>
          <w:rFonts w:ascii="Liberation Sans" w:hAnsi="Liberation Sans"/>
          <w:sz w:val="18"/>
        </w:rPr>
        <w:t>Message 4 - Opérations / terminals : relier l'approche aux investissements United Ports et à la standardisation des pratiques portuaires.</w:t>
      </w:r>
    </w:p>
    <w:p>
      <w:pPr>
        <w:pStyle w:val="Heading1"/>
      </w:pPr>
      <w:r>
        <w:rPr>
          <w:rFonts w:ascii="Liberation Sans" w:hAnsi="Liberation Sans"/>
          <w:color w:val="0B1F3A"/>
          <w:sz w:val="36"/>
        </w:rPr>
        <w:t>10. Points de vigilance</w:t>
      </w:r>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2592"/>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Risque</w:t>
            </w:r>
          </w:p>
        </w:tc>
        <w:tc>
          <w:tcPr>
            <w:tcW w:type="dxa" w:w="5688"/>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Conséquence</w:t>
            </w:r>
          </w:p>
        </w:tc>
        <w:tc>
          <w:tcPr>
            <w:tcW w:type="dxa" w:w="1152"/>
            <w:vAlign w:val="top"/>
            <w:shd w:fill="1F4E79"/>
          </w:tcPr>
          <w:p>
            <w:pPr>
              <w:spacing w:after="0" w:line="240" w:lineRule="auto"/>
            </w:pPr>
            <w:r>
              <w:rPr>
                <w:rFonts w:ascii="Liberation Sans" w:hAnsi="Liberation Sans"/>
                <w:b/>
                <w:color w:val="FFFFFF"/>
                <w:sz w:val="15"/>
              </w:rPr>
            </w:r>
            <w:r>
              <w:rPr>
                <w:rFonts w:ascii="Liberation Sans" w:hAnsi="Liberation Sans"/>
                <w:b/>
                <w:color w:val="FFFFFF"/>
                <w:sz w:val="15"/>
              </w:rPr>
              <w:t>Niveau</w:t>
            </w:r>
          </w:p>
        </w:tc>
      </w:tr>
      <w:tr>
        <w:tc>
          <w:tcPr>
            <w:tcW w:type="dxa" w:w="2592"/>
            <w:vAlign w:val="top"/>
          </w:tcPr>
          <w:p>
            <w:pPr>
              <w:spacing w:after="0" w:line="240" w:lineRule="auto"/>
            </w:pPr>
            <w:r>
              <w:rPr>
                <w:rFonts w:ascii="Liberation Sans" w:hAnsi="Liberation Sans"/>
                <w:sz w:val="16"/>
              </w:rPr>
            </w:r>
            <w:r>
              <w:rPr>
                <w:rFonts w:ascii="Liberation Sans" w:hAnsi="Liberation Sans"/>
                <w:b w:val="0"/>
                <w:sz w:val="16"/>
              </w:rPr>
              <w:t>Données personnelles</w:t>
            </w:r>
          </w:p>
        </w:tc>
        <w:tc>
          <w:tcPr>
            <w:tcW w:type="dxa" w:w="5688"/>
            <w:vAlign w:val="top"/>
          </w:tcPr>
          <w:p>
            <w:pPr>
              <w:spacing w:after="0" w:line="240" w:lineRule="auto"/>
            </w:pPr>
            <w:r>
              <w:rPr>
                <w:rFonts w:ascii="Liberation Sans" w:hAnsi="Liberation Sans"/>
                <w:sz w:val="16"/>
              </w:rPr>
            </w:r>
            <w:r>
              <w:rPr>
                <w:rFonts w:ascii="Liberation Sans" w:hAnsi="Liberation Sans"/>
                <w:b w:val="0"/>
                <w:sz w:val="16"/>
              </w:rPr>
              <w:t>Ne pas utiliser d'emails devinés. Privilégier coordonnées fonctionnelles, standard, LinkedIn, introduction réseau.</w:t>
            </w:r>
          </w:p>
        </w:tc>
        <w:tc>
          <w:tcPr>
            <w:tcW w:type="dxa" w:w="1152"/>
            <w:vAlign w:val="top"/>
          </w:tcPr>
          <w:p>
            <w:pPr>
              <w:spacing w:after="0" w:line="240" w:lineRule="auto"/>
            </w:pPr>
            <w:r>
              <w:rPr>
                <w:rFonts w:ascii="Liberation Sans" w:hAnsi="Liberation Sans"/>
                <w:sz w:val="16"/>
              </w:rPr>
            </w:r>
            <w:r>
              <w:rPr>
                <w:rFonts w:ascii="Liberation Sans" w:hAnsi="Liberation Sans"/>
                <w:b w:val="0"/>
                <w:sz w:val="16"/>
              </w:rPr>
              <w:t>Élevé</w:t>
            </w:r>
          </w:p>
        </w:tc>
      </w:tr>
      <w:tr>
        <w:tc>
          <w:tcPr>
            <w:tcW w:type="dxa" w:w="2592"/>
            <w:vAlign w:val="top"/>
            <w:shd w:fill="F2F6FA"/>
          </w:tcPr>
          <w:p>
            <w:pPr>
              <w:spacing w:after="0" w:line="240" w:lineRule="auto"/>
            </w:pPr>
            <w:r>
              <w:rPr>
                <w:rFonts w:ascii="Liberation Sans" w:hAnsi="Liberation Sans"/>
                <w:sz w:val="16"/>
              </w:rPr>
            </w:r>
            <w:r>
              <w:rPr>
                <w:rFonts w:ascii="Liberation Sans" w:hAnsi="Liberation Sans"/>
                <w:b w:val="0"/>
                <w:sz w:val="16"/>
              </w:rPr>
              <w:t>Organisation mouvante</w:t>
            </w:r>
          </w:p>
        </w:tc>
        <w:tc>
          <w:tcPr>
            <w:tcW w:type="dxa" w:w="5688"/>
            <w:vAlign w:val="top"/>
            <w:shd w:fill="F2F6FA"/>
          </w:tcPr>
          <w:p>
            <w:pPr>
              <w:spacing w:after="0" w:line="240" w:lineRule="auto"/>
            </w:pPr>
            <w:r>
              <w:rPr>
                <w:rFonts w:ascii="Liberation Sans" w:hAnsi="Liberation Sans"/>
                <w:sz w:val="16"/>
              </w:rPr>
            </w:r>
            <w:r>
              <w:rPr>
                <w:rFonts w:ascii="Liberation Sans" w:hAnsi="Liberation Sans"/>
                <w:b w:val="0"/>
                <w:sz w:val="16"/>
              </w:rPr>
              <w:t>Les acquisitions et nominations récentes peuvent modifier les responsabilités ; valider à chaque rendez-vous.</w:t>
            </w:r>
          </w:p>
        </w:tc>
        <w:tc>
          <w:tcPr>
            <w:tcW w:type="dxa" w:w="1152"/>
            <w:vAlign w:val="top"/>
            <w:shd w:fill="F2F6FA"/>
          </w:tcPr>
          <w:p>
            <w:pPr>
              <w:spacing w:after="0" w:line="240" w:lineRule="auto"/>
            </w:pPr>
            <w:r>
              <w:rPr>
                <w:rFonts w:ascii="Liberation Sans" w:hAnsi="Liberation Sans"/>
                <w:sz w:val="16"/>
              </w:rPr>
            </w:r>
            <w:r>
              <w:rPr>
                <w:rFonts w:ascii="Liberation Sans" w:hAnsi="Liberation Sans"/>
                <w:b w:val="0"/>
                <w:sz w:val="16"/>
              </w:rPr>
              <w:t>Élevé</w:t>
            </w:r>
          </w:p>
        </w:tc>
      </w:tr>
      <w:tr>
        <w:tc>
          <w:tcPr>
            <w:tcW w:type="dxa" w:w="2592"/>
            <w:vAlign w:val="top"/>
          </w:tcPr>
          <w:p>
            <w:pPr>
              <w:spacing w:after="0" w:line="240" w:lineRule="auto"/>
            </w:pPr>
            <w:r>
              <w:rPr>
                <w:rFonts w:ascii="Liberation Sans" w:hAnsi="Liberation Sans"/>
                <w:sz w:val="16"/>
              </w:rPr>
            </w:r>
            <w:r>
              <w:rPr>
                <w:rFonts w:ascii="Liberation Sans" w:hAnsi="Liberation Sans"/>
                <w:b w:val="0"/>
                <w:sz w:val="16"/>
              </w:rPr>
              <w:t>Compte très sollicité</w:t>
            </w:r>
          </w:p>
        </w:tc>
        <w:tc>
          <w:tcPr>
            <w:tcW w:type="dxa" w:w="5688"/>
            <w:vAlign w:val="top"/>
          </w:tcPr>
          <w:p>
            <w:pPr>
              <w:spacing w:after="0" w:line="240" w:lineRule="auto"/>
            </w:pPr>
            <w:r>
              <w:rPr>
                <w:rFonts w:ascii="Liberation Sans" w:hAnsi="Liberation Sans"/>
                <w:sz w:val="16"/>
              </w:rPr>
            </w:r>
            <w:r>
              <w:rPr>
                <w:rFonts w:ascii="Liberation Sans" w:hAnsi="Liberation Sans"/>
                <w:b w:val="0"/>
                <w:sz w:val="16"/>
              </w:rPr>
              <w:t>Éviter l'approche générique. Venir avec un diagnostic précis, un benchmark et un business case.</w:t>
            </w:r>
          </w:p>
        </w:tc>
        <w:tc>
          <w:tcPr>
            <w:tcW w:type="dxa" w:w="1152"/>
            <w:vAlign w:val="top"/>
          </w:tcPr>
          <w:p>
            <w:pPr>
              <w:spacing w:after="0" w:line="240" w:lineRule="auto"/>
            </w:pPr>
            <w:r>
              <w:rPr>
                <w:rFonts w:ascii="Liberation Sans" w:hAnsi="Liberation Sans"/>
                <w:sz w:val="16"/>
              </w:rPr>
            </w:r>
            <w:r>
              <w:rPr>
                <w:rFonts w:ascii="Liberation Sans" w:hAnsi="Liberation Sans"/>
                <w:b w:val="0"/>
                <w:sz w:val="16"/>
              </w:rPr>
              <w:t>Élevé</w:t>
            </w:r>
          </w:p>
        </w:tc>
      </w:tr>
      <w:tr>
        <w:tc>
          <w:tcPr>
            <w:tcW w:type="dxa" w:w="2592"/>
            <w:vAlign w:val="top"/>
            <w:shd w:fill="F2F6FA"/>
          </w:tcPr>
          <w:p>
            <w:pPr>
              <w:spacing w:after="0" w:line="240" w:lineRule="auto"/>
            </w:pPr>
            <w:r>
              <w:rPr>
                <w:rFonts w:ascii="Liberation Sans" w:hAnsi="Liberation Sans"/>
                <w:sz w:val="16"/>
              </w:rPr>
            </w:r>
            <w:r>
              <w:rPr>
                <w:rFonts w:ascii="Liberation Sans" w:hAnsi="Liberation Sans"/>
                <w:b w:val="0"/>
                <w:sz w:val="16"/>
              </w:rPr>
              <w:t>Achats exigeants</w:t>
            </w:r>
          </w:p>
        </w:tc>
        <w:tc>
          <w:tcPr>
            <w:tcW w:type="dxa" w:w="5688"/>
            <w:vAlign w:val="top"/>
            <w:shd w:fill="F2F6FA"/>
          </w:tcPr>
          <w:p>
            <w:pPr>
              <w:spacing w:after="0" w:line="240" w:lineRule="auto"/>
            </w:pPr>
            <w:r>
              <w:rPr>
                <w:rFonts w:ascii="Liberation Sans" w:hAnsi="Liberation Sans"/>
                <w:sz w:val="16"/>
              </w:rPr>
            </w:r>
            <w:r>
              <w:rPr>
                <w:rFonts w:ascii="Liberation Sans" w:hAnsi="Liberation Sans"/>
                <w:b w:val="0"/>
                <w:sz w:val="16"/>
              </w:rPr>
              <w:t>S'attendre à sourcing, panel, compliance, sécurité, legal et négociation robuste.</w:t>
            </w:r>
          </w:p>
        </w:tc>
        <w:tc>
          <w:tcPr>
            <w:tcW w:type="dxa" w:w="1152"/>
            <w:vAlign w:val="top"/>
            <w:shd w:fill="F2F6FA"/>
          </w:tcPr>
          <w:p>
            <w:pPr>
              <w:spacing w:after="0" w:line="240" w:lineRule="auto"/>
            </w:pPr>
            <w:r>
              <w:rPr>
                <w:rFonts w:ascii="Liberation Sans" w:hAnsi="Liberation Sans"/>
                <w:sz w:val="16"/>
              </w:rPr>
            </w:r>
            <w:r>
              <w:rPr>
                <w:rFonts w:ascii="Liberation Sans" w:hAnsi="Liberation Sans"/>
                <w:b w:val="0"/>
                <w:sz w:val="16"/>
              </w:rPr>
              <w:t>Élevé</w:t>
            </w:r>
          </w:p>
        </w:tc>
      </w:tr>
      <w:tr>
        <w:tc>
          <w:tcPr>
            <w:tcW w:type="dxa" w:w="2592"/>
            <w:vAlign w:val="top"/>
          </w:tcPr>
          <w:p>
            <w:pPr>
              <w:spacing w:after="0" w:line="240" w:lineRule="auto"/>
            </w:pPr>
            <w:r>
              <w:rPr>
                <w:rFonts w:ascii="Liberation Sans" w:hAnsi="Liberation Sans"/>
                <w:sz w:val="16"/>
              </w:rPr>
            </w:r>
            <w:r>
              <w:rPr>
                <w:rFonts w:ascii="Liberation Sans" w:hAnsi="Liberation Sans"/>
                <w:b w:val="0"/>
                <w:sz w:val="16"/>
              </w:rPr>
              <w:t>Sensibilité politique / médiatique</w:t>
            </w:r>
          </w:p>
        </w:tc>
        <w:tc>
          <w:tcPr>
            <w:tcW w:type="dxa" w:w="5688"/>
            <w:vAlign w:val="top"/>
          </w:tcPr>
          <w:p>
            <w:pPr>
              <w:spacing w:after="0" w:line="240" w:lineRule="auto"/>
            </w:pPr>
            <w:r>
              <w:rPr>
                <w:rFonts w:ascii="Liberation Sans" w:hAnsi="Liberation Sans"/>
                <w:sz w:val="16"/>
              </w:rPr>
            </w:r>
            <w:r>
              <w:rPr>
                <w:rFonts w:ascii="Liberation Sans" w:hAnsi="Liberation Sans"/>
                <w:b w:val="0"/>
                <w:sz w:val="16"/>
              </w:rPr>
              <w:t>Le groupe est visible en France et aux États-Unis ; soigner le narratif risque, souveraineté et réputation.</w:t>
            </w:r>
          </w:p>
        </w:tc>
        <w:tc>
          <w:tcPr>
            <w:tcW w:type="dxa" w:w="1152"/>
            <w:vAlign w:val="top"/>
          </w:tcPr>
          <w:p>
            <w:pPr>
              <w:spacing w:after="0" w:line="240" w:lineRule="auto"/>
            </w:pPr>
            <w:r>
              <w:rPr>
                <w:rFonts w:ascii="Liberation Sans" w:hAnsi="Liberation Sans"/>
                <w:sz w:val="16"/>
              </w:rPr>
            </w:r>
            <w:r>
              <w:rPr>
                <w:rFonts w:ascii="Liberation Sans" w:hAnsi="Liberation Sans"/>
                <w:b w:val="0"/>
                <w:sz w:val="16"/>
              </w:rPr>
              <w:t>Moyen</w:t>
            </w:r>
          </w:p>
        </w:tc>
      </w:tr>
    </w:tbl>
    <w:p/>
    <w:p>
      <w:pPr>
        <w:pStyle w:val="Heading1"/>
      </w:pPr>
      <w:r>
        <w:rPr>
          <w:rFonts w:ascii="Liberation Sans" w:hAnsi="Liberation Sans"/>
          <w:color w:val="0B1F3A"/>
          <w:sz w:val="36"/>
        </w:rPr>
        <w:t>11. Check-list de préparation rendez-vous</w:t>
      </w:r>
    </w:p>
    <w:tbl>
      <w:tblPr>
        <w:tblStyle w:val="TableGrid"/>
        <w:tblW w:type="auto" w:w="0"/>
        <w:jc w:val="center"/>
        <w:tblLayout w:type="fixed"/>
        <w:tblLook w:firstColumn="1" w:firstRow="1" w:lastColumn="0" w:lastRow="0" w:noHBand="0" w:noVBand="1" w:val="04A0"/>
      </w:tblPr>
      <w:tblGrid>
        <w:gridCol w:w="5159"/>
        <w:gridCol w:w="5159"/>
      </w:tblGrid>
      <w:tr>
        <w:trPr>
          <w:tblHeader w:val="true"/>
        </w:trPr>
        <w:tc>
          <w:tcPr>
            <w:tcW w:type="dxa" w:w="2015"/>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Thème</w:t>
            </w:r>
          </w:p>
        </w:tc>
        <w:tc>
          <w:tcPr>
            <w:tcW w:type="dxa" w:w="7416"/>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À vérifier</w:t>
            </w:r>
          </w:p>
        </w:tc>
      </w:tr>
      <w:tr>
        <w:tc>
          <w:tcPr>
            <w:tcW w:type="dxa" w:w="2015"/>
            <w:vAlign w:val="top"/>
          </w:tcPr>
          <w:p>
            <w:pPr>
              <w:spacing w:after="0" w:line="240" w:lineRule="auto"/>
            </w:pPr>
            <w:r>
              <w:rPr>
                <w:rFonts w:ascii="Liberation Sans" w:hAnsi="Liberation Sans"/>
                <w:sz w:val="16"/>
              </w:rPr>
            </w:r>
            <w:r>
              <w:rPr>
                <w:rFonts w:ascii="Liberation Sans" w:hAnsi="Liberation Sans"/>
                <w:b w:val="0"/>
                <w:sz w:val="16"/>
              </w:rPr>
              <w:t>Compte</w:t>
            </w:r>
          </w:p>
        </w:tc>
        <w:tc>
          <w:tcPr>
            <w:tcW w:type="dxa" w:w="7416"/>
            <w:vAlign w:val="top"/>
          </w:tcPr>
          <w:p>
            <w:pPr>
              <w:spacing w:after="0" w:line="240" w:lineRule="auto"/>
            </w:pPr>
            <w:r>
              <w:rPr>
                <w:rFonts w:ascii="Liberation Sans" w:hAnsi="Liberation Sans"/>
                <w:sz w:val="16"/>
              </w:rPr>
            </w:r>
            <w:r>
              <w:rPr>
                <w:rFonts w:ascii="Liberation Sans" w:hAnsi="Liberation Sans"/>
                <w:b w:val="0"/>
                <w:sz w:val="16"/>
              </w:rPr>
              <w:t>Avoir une vision claire : groupe, CEVA, shipping, terminaux, pays / région, fonction ciblée.</w:t>
            </w:r>
          </w:p>
        </w:tc>
      </w:tr>
      <w:tr>
        <w:tc>
          <w:tcPr>
            <w:tcW w:type="dxa" w:w="2015"/>
            <w:vAlign w:val="top"/>
            <w:shd w:fill="F2F6FA"/>
          </w:tcPr>
          <w:p>
            <w:pPr>
              <w:spacing w:after="0" w:line="240" w:lineRule="auto"/>
            </w:pPr>
            <w:r>
              <w:rPr>
                <w:rFonts w:ascii="Liberation Sans" w:hAnsi="Liberation Sans"/>
                <w:sz w:val="16"/>
              </w:rPr>
            </w:r>
            <w:r>
              <w:rPr>
                <w:rFonts w:ascii="Liberation Sans" w:hAnsi="Liberation Sans"/>
                <w:b w:val="0"/>
                <w:sz w:val="16"/>
              </w:rPr>
              <w:t>Sponsor</w:t>
            </w:r>
          </w:p>
        </w:tc>
        <w:tc>
          <w:tcPr>
            <w:tcW w:type="dxa" w:w="7416"/>
            <w:vAlign w:val="top"/>
            <w:shd w:fill="F2F6FA"/>
          </w:tcPr>
          <w:p>
            <w:pPr>
              <w:spacing w:after="0" w:line="240" w:lineRule="auto"/>
            </w:pPr>
            <w:r>
              <w:rPr>
                <w:rFonts w:ascii="Liberation Sans" w:hAnsi="Liberation Sans"/>
                <w:sz w:val="16"/>
              </w:rPr>
            </w:r>
            <w:r>
              <w:rPr>
                <w:rFonts w:ascii="Liberation Sans" w:hAnsi="Liberation Sans"/>
                <w:b w:val="0"/>
                <w:sz w:val="16"/>
              </w:rPr>
              <w:t>Identifier le décideur métier et le décideur achat, puis le valideur IT / sécurité / finance.</w:t>
            </w:r>
          </w:p>
        </w:tc>
      </w:tr>
      <w:tr>
        <w:tc>
          <w:tcPr>
            <w:tcW w:type="dxa" w:w="2015"/>
            <w:vAlign w:val="top"/>
          </w:tcPr>
          <w:p>
            <w:pPr>
              <w:spacing w:after="0" w:line="240" w:lineRule="auto"/>
            </w:pPr>
            <w:r>
              <w:rPr>
                <w:rFonts w:ascii="Liberation Sans" w:hAnsi="Liberation Sans"/>
                <w:sz w:val="16"/>
              </w:rPr>
            </w:r>
            <w:r>
              <w:rPr>
                <w:rFonts w:ascii="Liberation Sans" w:hAnsi="Liberation Sans"/>
                <w:b w:val="0"/>
                <w:sz w:val="16"/>
              </w:rPr>
              <w:t>Preuves</w:t>
            </w:r>
          </w:p>
        </w:tc>
        <w:tc>
          <w:tcPr>
            <w:tcW w:type="dxa" w:w="7416"/>
            <w:vAlign w:val="top"/>
          </w:tcPr>
          <w:p>
            <w:pPr>
              <w:spacing w:after="0" w:line="240" w:lineRule="auto"/>
            </w:pPr>
            <w:r>
              <w:rPr>
                <w:rFonts w:ascii="Liberation Sans" w:hAnsi="Liberation Sans"/>
                <w:sz w:val="16"/>
              </w:rPr>
            </w:r>
            <w:r>
              <w:rPr>
                <w:rFonts w:ascii="Liberation Sans" w:hAnsi="Liberation Sans"/>
                <w:b w:val="0"/>
                <w:sz w:val="16"/>
              </w:rPr>
              <w:t>Préparer références sectorielles, chiffres d'impact, approche sécurité et méthodologie de déploiement.</w:t>
            </w:r>
          </w:p>
        </w:tc>
      </w:tr>
      <w:tr>
        <w:tc>
          <w:tcPr>
            <w:tcW w:type="dxa" w:w="2015"/>
            <w:vAlign w:val="top"/>
            <w:shd w:fill="F2F6FA"/>
          </w:tcPr>
          <w:p>
            <w:pPr>
              <w:spacing w:after="0" w:line="240" w:lineRule="auto"/>
            </w:pPr>
            <w:r>
              <w:rPr>
                <w:rFonts w:ascii="Liberation Sans" w:hAnsi="Liberation Sans"/>
                <w:sz w:val="16"/>
              </w:rPr>
            </w:r>
            <w:r>
              <w:rPr>
                <w:rFonts w:ascii="Liberation Sans" w:hAnsi="Liberation Sans"/>
                <w:b w:val="0"/>
                <w:sz w:val="16"/>
              </w:rPr>
              <w:t>Hypothèse de douleur</w:t>
            </w:r>
          </w:p>
        </w:tc>
        <w:tc>
          <w:tcPr>
            <w:tcW w:type="dxa" w:w="7416"/>
            <w:vAlign w:val="top"/>
            <w:shd w:fill="F2F6FA"/>
          </w:tcPr>
          <w:p>
            <w:pPr>
              <w:spacing w:after="0" w:line="240" w:lineRule="auto"/>
            </w:pPr>
            <w:r>
              <w:rPr>
                <w:rFonts w:ascii="Liberation Sans" w:hAnsi="Liberation Sans"/>
                <w:sz w:val="16"/>
              </w:rPr>
            </w:r>
            <w:r>
              <w:rPr>
                <w:rFonts w:ascii="Liberation Sans" w:hAnsi="Liberation Sans"/>
                <w:b w:val="0"/>
                <w:sz w:val="16"/>
              </w:rPr>
              <w:t>Arriver avec 2 ou 3 douleurs probables et demander validation, plutôt que présenter une solution générique.</w:t>
            </w:r>
          </w:p>
        </w:tc>
      </w:tr>
      <w:tr>
        <w:tc>
          <w:tcPr>
            <w:tcW w:type="dxa" w:w="2015"/>
            <w:vAlign w:val="top"/>
          </w:tcPr>
          <w:p>
            <w:pPr>
              <w:spacing w:after="0" w:line="240" w:lineRule="auto"/>
            </w:pPr>
            <w:r>
              <w:rPr>
                <w:rFonts w:ascii="Liberation Sans" w:hAnsi="Liberation Sans"/>
                <w:sz w:val="16"/>
              </w:rPr>
            </w:r>
            <w:r>
              <w:rPr>
                <w:rFonts w:ascii="Liberation Sans" w:hAnsi="Liberation Sans"/>
                <w:b w:val="0"/>
                <w:sz w:val="16"/>
              </w:rPr>
              <w:t>Données</w:t>
            </w:r>
          </w:p>
        </w:tc>
        <w:tc>
          <w:tcPr>
            <w:tcW w:type="dxa" w:w="7416"/>
            <w:vAlign w:val="top"/>
          </w:tcPr>
          <w:p>
            <w:pPr>
              <w:spacing w:after="0" w:line="240" w:lineRule="auto"/>
            </w:pPr>
            <w:r>
              <w:rPr>
                <w:rFonts w:ascii="Liberation Sans" w:hAnsi="Liberation Sans"/>
                <w:sz w:val="16"/>
              </w:rPr>
            </w:r>
            <w:r>
              <w:rPr>
                <w:rFonts w:ascii="Liberation Sans" w:hAnsi="Liberation Sans"/>
                <w:b w:val="0"/>
                <w:sz w:val="16"/>
              </w:rPr>
              <w:t>Lister les données nécessaires pour un pilote : contrats, factures, référentiels fournisseurs, catégories, logs, tickets, KPI.</w:t>
            </w:r>
          </w:p>
        </w:tc>
      </w:tr>
      <w:tr>
        <w:tc>
          <w:tcPr>
            <w:tcW w:type="dxa" w:w="2015"/>
            <w:vAlign w:val="top"/>
            <w:shd w:fill="F2F6FA"/>
          </w:tcPr>
          <w:p>
            <w:pPr>
              <w:spacing w:after="0" w:line="240" w:lineRule="auto"/>
            </w:pPr>
            <w:r>
              <w:rPr>
                <w:rFonts w:ascii="Liberation Sans" w:hAnsi="Liberation Sans"/>
                <w:sz w:val="16"/>
              </w:rPr>
            </w:r>
            <w:r>
              <w:rPr>
                <w:rFonts w:ascii="Liberation Sans" w:hAnsi="Liberation Sans"/>
                <w:b w:val="0"/>
                <w:sz w:val="16"/>
              </w:rPr>
              <w:t>Next step</w:t>
            </w:r>
          </w:p>
        </w:tc>
        <w:tc>
          <w:tcPr>
            <w:tcW w:type="dxa" w:w="7416"/>
            <w:vAlign w:val="top"/>
            <w:shd w:fill="F2F6FA"/>
          </w:tcPr>
          <w:p>
            <w:pPr>
              <w:spacing w:after="0" w:line="240" w:lineRule="auto"/>
            </w:pPr>
            <w:r>
              <w:rPr>
                <w:rFonts w:ascii="Liberation Sans" w:hAnsi="Liberation Sans"/>
                <w:sz w:val="16"/>
              </w:rPr>
            </w:r>
            <w:r>
              <w:rPr>
                <w:rFonts w:ascii="Liberation Sans" w:hAnsi="Liberation Sans"/>
                <w:b w:val="0"/>
                <w:sz w:val="16"/>
              </w:rPr>
              <w:t>Terminer par un atelier de cadrage ou un périmètre pilote avec sponsor, objectif, durée, livrable et critère de succès.</w:t>
            </w:r>
          </w:p>
        </w:tc>
      </w:tr>
    </w:tbl>
    <w:p/>
    <w:p>
      <w:pPr>
        <w:sectPr>
          <w:pgSz w:w="11906" w:h="16838"/>
          <w:pgMar w:top="794" w:right="794" w:bottom="794" w:left="794" w:header="720" w:footer="720" w:gutter="0"/>
          <w:cols w:space="720"/>
          <w:docGrid w:linePitch="360"/>
        </w:sectPr>
      </w:pPr>
    </w:p>
    <w:p>
      <w:pPr>
        <w:pStyle w:val="Heading1"/>
      </w:pPr>
      <w:r>
        <w:rPr>
          <w:rFonts w:ascii="Liberation Sans" w:hAnsi="Liberation Sans"/>
          <w:color w:val="0B1F3A"/>
          <w:sz w:val="36"/>
        </w:rPr>
        <w:t>Annexe - Sources publiques exploitées</w:t>
      </w:r>
    </w:p>
    <w:p>
      <w:pPr>
        <w:spacing w:after="100"/>
      </w:pPr>
      <w:r>
        <w:rPr>
          <w:rFonts w:ascii="Liberation Sans" w:hAnsi="Liberation Sans"/>
          <w:sz w:val="17"/>
        </w:rPr>
        <w:t>Les sources ci-dessous ont été utilisées pour construire le plan de compte. Certaines informations de personnes proviennent de pages professionnelles publiques ; elles doivent être vérifiées avant toute action commerciale sensible.</w:t>
      </w:r>
    </w:p>
    <w:tbl>
      <w:tblPr>
        <w:tblStyle w:val="TableGrid"/>
        <w:tblW w:type="auto" w:w="0"/>
        <w:jc w:val="center"/>
        <w:tblLayout w:type="fixed"/>
        <w:tblLook w:firstColumn="1" w:firstRow="1" w:lastColumn="0" w:lastRow="0" w:noHBand="0" w:noVBand="1" w:val="04A0"/>
      </w:tblPr>
      <w:tblGrid>
        <w:gridCol w:w="3439"/>
        <w:gridCol w:w="3439"/>
        <w:gridCol w:w="3439"/>
      </w:tblGrid>
      <w:tr>
        <w:trPr>
          <w:tblHeader w:val="true"/>
        </w:trPr>
        <w:tc>
          <w:tcPr>
            <w:tcW w:type="dxa" w:w="648"/>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Réf.</w:t>
            </w:r>
          </w:p>
        </w:tc>
        <w:tc>
          <w:tcPr>
            <w:tcW w:type="dxa" w:w="3311"/>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Source</w:t>
            </w:r>
          </w:p>
        </w:tc>
        <w:tc>
          <w:tcPr>
            <w:tcW w:type="dxa" w:w="5544"/>
            <w:vAlign w:val="top"/>
            <w:shd w:fill="0B1F3A"/>
          </w:tcPr>
          <w:p>
            <w:pPr>
              <w:spacing w:after="0" w:line="240" w:lineRule="auto"/>
            </w:pPr>
            <w:r>
              <w:rPr>
                <w:rFonts w:ascii="Liberation Sans" w:hAnsi="Liberation Sans"/>
                <w:b/>
                <w:color w:val="FFFFFF"/>
                <w:sz w:val="15"/>
              </w:rPr>
            </w:r>
            <w:r>
              <w:rPr>
                <w:rFonts w:ascii="Liberation Sans" w:hAnsi="Liberation Sans"/>
                <w:b/>
                <w:color w:val="FFFFFF"/>
                <w:sz w:val="15"/>
              </w:rPr>
              <w:t>Informations utilisées</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S1</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 The Group / key figures</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Présence, bureaux, collaborateurs, flotte, ports desservis, chiffre d'affaires 2024.</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S2</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CMA CGM - Annual Financial Results 2025</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Résultats 2025, priorités stratégiques, Santos Brasil, United Ports, Borusan, Fagioli.</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S3</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Group - Governance</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Conseil d'administration présidé par Rodolphe Saadé, 14 administrateurs.</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S4</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Pappers - CMA CGM 562 024 422</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Forme juridique, RCS, siège social, capital social.</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S5</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 Marlène Dolveck and Nadine Jaudet join Executive Committee</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Nomination EVP IT / Digital / AI / Cyber / R&amp;D ; Audit / Risk / Performance / Shared Services.</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S6</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CMA CGM / Google - AI partnership</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Partenariat IA dans shipping, logistics et media.</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S7</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 Mistral AI</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Partenariat IA de 100 M€ sur 5 ans.</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S8</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CMA CGM - Investment in America</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Investissement annoncé de 20 Md$ sur 4 ans aux États-Unis.</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S9</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 Stonepeak - United Ports</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JV terminaux, 10 actifs, 75/25, contrôle opérationnel CMA CGM.</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S10</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Républik Achats / événements achats</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Louis Schmidtlin identifié comme CPO CMA-CGM.</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S11</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LinkedIn public / profils professionnels</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Marina Le Badezet et autres profils publics à vérifier avant approche.</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S12</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TRAC Intermodal - événement 2025</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Bob Basila, SVP &amp; CPO North America, périmètre achats transport et services.</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S13</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CMA CGM - Offices &amp; contacts France</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Marseille, Le Havre, Dunkerque, Montoir, Courbevoie / Paris.</w:t>
            </w:r>
          </w:p>
        </w:tc>
      </w:tr>
      <w:tr>
        <w:tc>
          <w:tcPr>
            <w:tcW w:type="dxa" w:w="648"/>
            <w:vAlign w:val="top"/>
            <w:shd w:fill="F2F6FA"/>
          </w:tcPr>
          <w:p>
            <w:pPr>
              <w:spacing w:after="0" w:line="240" w:lineRule="auto"/>
            </w:pPr>
            <w:r>
              <w:rPr>
                <w:rFonts w:ascii="Liberation Sans" w:hAnsi="Liberation Sans"/>
                <w:sz w:val="15"/>
              </w:rPr>
            </w:r>
            <w:r>
              <w:rPr>
                <w:rFonts w:ascii="Liberation Sans" w:hAnsi="Liberation Sans"/>
                <w:b w:val="0"/>
                <w:sz w:val="15"/>
              </w:rPr>
              <w:t>S14</w:t>
            </w:r>
          </w:p>
        </w:tc>
        <w:tc>
          <w:tcPr>
            <w:tcW w:type="dxa" w:w="3311"/>
            <w:vAlign w:val="top"/>
            <w:shd w:fill="F2F6FA"/>
          </w:tcPr>
          <w:p>
            <w:pPr>
              <w:spacing w:after="0" w:line="240" w:lineRule="auto"/>
            </w:pPr>
            <w:r>
              <w:rPr>
                <w:rFonts w:ascii="Liberation Sans" w:hAnsi="Liberation Sans"/>
                <w:sz w:val="15"/>
              </w:rPr>
            </w:r>
            <w:r>
              <w:rPr>
                <w:rFonts w:ascii="Liberation Sans" w:hAnsi="Liberation Sans"/>
                <w:b w:val="0"/>
                <w:sz w:val="15"/>
              </w:rPr>
              <w:t>CMA CGM - Offices &amp; contacts United States</w:t>
            </w:r>
          </w:p>
        </w:tc>
        <w:tc>
          <w:tcPr>
            <w:tcW w:type="dxa" w:w="5544"/>
            <w:vAlign w:val="top"/>
            <w:shd w:fill="F2F6FA"/>
          </w:tcPr>
          <w:p>
            <w:pPr>
              <w:spacing w:after="0" w:line="240" w:lineRule="auto"/>
            </w:pPr>
            <w:r>
              <w:rPr>
                <w:rFonts w:ascii="Liberation Sans" w:hAnsi="Liberation Sans"/>
                <w:sz w:val="15"/>
              </w:rPr>
            </w:r>
            <w:r>
              <w:rPr>
                <w:rFonts w:ascii="Liberation Sans" w:hAnsi="Liberation Sans"/>
                <w:b w:val="0"/>
                <w:sz w:val="15"/>
              </w:rPr>
              <w:t>Norfolk et bureaux USA.</w:t>
            </w:r>
          </w:p>
        </w:tc>
      </w:tr>
      <w:tr>
        <w:tc>
          <w:tcPr>
            <w:tcW w:type="dxa" w:w="648"/>
            <w:vAlign w:val="top"/>
          </w:tcPr>
          <w:p>
            <w:pPr>
              <w:spacing w:after="0" w:line="240" w:lineRule="auto"/>
            </w:pPr>
            <w:r>
              <w:rPr>
                <w:rFonts w:ascii="Liberation Sans" w:hAnsi="Liberation Sans"/>
                <w:sz w:val="15"/>
              </w:rPr>
            </w:r>
            <w:r>
              <w:rPr>
                <w:rFonts w:ascii="Liberation Sans" w:hAnsi="Liberation Sans"/>
                <w:b w:val="0"/>
                <w:sz w:val="15"/>
              </w:rPr>
              <w:t>S15</w:t>
            </w:r>
          </w:p>
        </w:tc>
        <w:tc>
          <w:tcPr>
            <w:tcW w:type="dxa" w:w="3311"/>
            <w:vAlign w:val="top"/>
          </w:tcPr>
          <w:p>
            <w:pPr>
              <w:spacing w:after="0" w:line="240" w:lineRule="auto"/>
            </w:pPr>
            <w:r>
              <w:rPr>
                <w:rFonts w:ascii="Liberation Sans" w:hAnsi="Liberation Sans"/>
                <w:sz w:val="15"/>
              </w:rPr>
            </w:r>
            <w:r>
              <w:rPr>
                <w:rFonts w:ascii="Liberation Sans" w:hAnsi="Liberation Sans"/>
                <w:b w:val="0"/>
                <w:sz w:val="15"/>
              </w:rPr>
              <w:t>Offres d'emploi CMA CGM</w:t>
            </w:r>
          </w:p>
        </w:tc>
        <w:tc>
          <w:tcPr>
            <w:tcW w:type="dxa" w:w="5544"/>
            <w:vAlign w:val="top"/>
          </w:tcPr>
          <w:p>
            <w:pPr>
              <w:spacing w:after="0" w:line="240" w:lineRule="auto"/>
            </w:pPr>
            <w:r>
              <w:rPr>
                <w:rFonts w:ascii="Liberation Sans" w:hAnsi="Liberation Sans"/>
                <w:sz w:val="15"/>
              </w:rPr>
            </w:r>
            <w:r>
              <w:rPr>
                <w:rFonts w:ascii="Liberation Sans" w:hAnsi="Liberation Sans"/>
                <w:b w:val="0"/>
                <w:sz w:val="15"/>
              </w:rPr>
              <w:t>Signaux d'organisation IT : Shipping CIO, Chief of Staff IT, SOC / cyber, architecture.</w:t>
            </w:r>
          </w:p>
        </w:tc>
      </w:tr>
    </w:tbl>
    <w:p/>
    <w:p>
      <w:pPr>
        <w:pStyle w:val="Heading1"/>
      </w:pPr>
      <w:r>
        <w:rPr>
          <w:rFonts w:ascii="Liberation Sans" w:hAnsi="Liberation Sans"/>
          <w:color w:val="0B1F3A"/>
          <w:sz w:val="36"/>
        </w:rPr>
        <w:t>Annexe - Questions ouvertes pour enrichir le compte</w:t>
      </w:r>
    </w:p>
    <w:p>
      <w:pPr>
        <w:pStyle w:val="ListBullet"/>
        <w:spacing w:after="40"/>
      </w:pPr>
      <w:r>
        <w:rPr>
          <w:rFonts w:ascii="Liberation Sans" w:hAnsi="Liberation Sans"/>
          <w:sz w:val="18"/>
        </w:rPr>
        <w:t>Existe-t-il déjà une relation fournisseur, un contrat, un historique de réponse à appel d'offres ou un sponsor chez CMA CGM / CEVA ?</w:t>
      </w:r>
    </w:p>
    <w:p>
      <w:pPr>
        <w:pStyle w:val="ListBullet"/>
        <w:spacing w:after="40"/>
      </w:pPr>
      <w:r>
        <w:rPr>
          <w:rFonts w:ascii="Liberation Sans" w:hAnsi="Liberation Sans"/>
          <w:sz w:val="18"/>
        </w:rPr>
        <w:t>Quel est votre angle principal : IT / IA, achats, audit fournisseurs, CLM, cyber, data, transformation P2P, conseil stratégique ?</w:t>
      </w:r>
    </w:p>
    <w:p>
      <w:pPr>
        <w:pStyle w:val="ListBullet"/>
        <w:spacing w:after="40"/>
      </w:pPr>
      <w:r>
        <w:rPr>
          <w:rFonts w:ascii="Liberation Sans" w:hAnsi="Liberation Sans"/>
          <w:sz w:val="18"/>
        </w:rPr>
        <w:t>Quels cas clients pouvez-vous montrer dans transport, logistique, maritime, distribution, industrie ou grands comptes complexes ?</w:t>
      </w:r>
    </w:p>
    <w:p>
      <w:pPr>
        <w:pStyle w:val="ListBullet"/>
        <w:spacing w:after="40"/>
      </w:pPr>
      <w:r>
        <w:rPr>
          <w:rFonts w:ascii="Liberation Sans" w:hAnsi="Liberation Sans"/>
          <w:sz w:val="18"/>
        </w:rPr>
        <w:t>Quel périmètre géographique souhaitez-vous attaquer en premier : France siège, agences France, CEVA, North America, ports / terminals ?</w:t>
      </w:r>
    </w:p>
    <w:p>
      <w:pPr>
        <w:pStyle w:val="ListBullet"/>
        <w:spacing w:after="40"/>
      </w:pPr>
      <w:r>
        <w:rPr>
          <w:rFonts w:ascii="Liberation Sans" w:hAnsi="Liberation Sans"/>
          <w:sz w:val="18"/>
        </w:rPr>
        <w:t>Êtes-vous référencé chez CMA CGM, CEVA Logistics, ou via un intégrateur / partenaire déjà fournisseur du groupe ?</w:t>
      </w:r>
    </w:p>
    <w:sectPr w:rsidR="00FC693F" w:rsidRPr="0006063C" w:rsidSect="00034616">
      <w:pgSz w:w="11906" w:h="16838"/>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Liberation Sans" w:hAnsi="Liberation Sans"/>
        <w:color w:val="666666"/>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666666"/>
        <w:sz w:val="16"/>
      </w:rPr>
      <w:t>Plan de compte stratégique - CMA CGM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Small">
    <w:name w:val="SubtitleSmall"/>
    <w:rPr>
      <w:rFonts w:ascii="Liberation Sans" w:hAnsi="Liberation Sans"/>
      <w:b w:val="0"/>
      <w:color w:val="666666"/>
      <w:sz w:val="20"/>
    </w:rPr>
  </w:style>
  <w:style w:type="paragraph" w:customStyle="1" w:styleId="KPI">
    <w:name w:val="KPI"/>
    <w:rPr>
      <w:rFonts w:ascii="Liberation Sans" w:hAnsi="Liberation Sans"/>
      <w:b/>
      <w:color w:val="0B1F3A"/>
      <w:sz w:val="26"/>
    </w:rPr>
  </w:style>
  <w:style w:type="paragraph" w:customStyle="1" w:styleId="SmallNote">
    <w:name w:val="SmallNote"/>
    <w:rPr>
      <w:rFonts w:ascii="Liberation Sans" w:hAnsi="Liberation Sans"/>
      <w:b w:val="0"/>
      <w:color w:val="666666"/>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compte stratégique CMA CGM</dc:title>
  <dc:subject>Account plan stratégique</dc:subject>
  <dc:creator>OpenAI</dc:creator>
  <cp:keywords/>
  <dc:description>Créé à partir de sources publiques, sans coordonnées personnelles devinées.</dc:description>
  <cp:lastModifiedBy/>
  <cp:revision>1</cp:revision>
  <dcterms:created xsi:type="dcterms:W3CDTF">2013-12-23T23:15:00Z</dcterms:created>
  <dcterms:modified xsi:type="dcterms:W3CDTF">2013-12-23T23:15:00Z</dcterms:modified>
  <cp:category/>
</cp:coreProperties>
</file>