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after="200"/>
      </w:pPr>
      <w:r>
        <w:rPr>
          <w:rFonts w:ascii="Calibri" w:hAnsi="Calibri"/>
          <w:b/>
          <w:color w:val="0B7285"/>
          <w:sz w:val="22"/>
        </w:rPr>
        <w:t>PLAN DE COMPTE STRATÉGIQUE</w:t>
      </w:r>
    </w:p>
    <w:p>
      <w:pPr>
        <w:pStyle w:val="Title"/>
      </w:pPr>
      <w:r>
        <w:t>Kuehne+Nagel France</w:t>
      </w:r>
    </w:p>
    <w:p>
      <w:pPr>
        <w:pStyle w:val="Subtitle"/>
        <w:pBdr>
          <w:bottom w:val="single" w:sz="12" w:space="8" w:color="0B7285"/>
        </w:pBdr>
      </w:pPr>
      <w:r>
        <w:t>Stratégie de pénétration commerciale et plan d'actions 2026-2027</w:t>
      </w:r>
    </w:p>
    <w:p>
      <w:pPr>
        <w:spacing w:before="480" w:after="80"/>
      </w:pPr>
      <w:r>
        <w:rPr>
          <w:rFonts w:ascii="Calibri" w:hAnsi="Calibri"/>
          <w:b/>
          <w:color w:val="5B6573"/>
          <w:sz w:val="18"/>
        </w:rPr>
        <w:t>Préparé pour</w:t>
      </w:r>
      <w:r>
        <w:br/>
      </w:r>
      <w:r>
        <w:rPr>
          <w:rFonts w:ascii="Calibri" w:hAnsi="Calibri"/>
          <w:b/>
          <w:color w:val="0B2545"/>
          <w:sz w:val="24"/>
        </w:rPr>
        <w:t>Direction commerciale Tilencia</w:t>
      </w:r>
    </w:p>
    <w:p>
      <w:pPr>
        <w:spacing w:after="80"/>
      </w:pPr>
      <w:r>
        <w:rPr>
          <w:rFonts w:ascii="Calibri" w:hAnsi="Calibri"/>
          <w:b/>
          <w:color w:val="5B6573"/>
          <w:sz w:val="18"/>
        </w:rPr>
        <w:t>Date</w:t>
      </w:r>
      <w:r>
        <w:br/>
      </w:r>
      <w:r>
        <w:rPr>
          <w:rFonts w:ascii="Calibri" w:hAnsi="Calibri"/>
          <w:color w:val="1D2630"/>
          <w:sz w:val="22"/>
        </w:rPr>
        <w:t>26 août 2026</w:t>
      </w:r>
    </w:p>
    <w:p>
      <w:pPr>
        <w:spacing w:after="400"/>
      </w:pPr>
      <w:r>
        <w:rPr>
          <w:rFonts w:ascii="Calibri" w:hAnsi="Calibri"/>
          <w:b/>
          <w:color w:val="5B6573"/>
          <w:sz w:val="18"/>
        </w:rPr>
        <w:t>Statut</w:t>
      </w:r>
      <w:r>
        <w:br/>
      </w:r>
      <w:r>
        <w:rPr>
          <w:rFonts w:ascii="Calibri" w:hAnsi="Calibri"/>
          <w:b/>
          <w:color w:val="2E6B57"/>
          <w:sz w:val="22"/>
        </w:rPr>
        <w:t>GO commercial - Compte stratégique à développer</w:t>
      </w:r>
    </w:p>
    <w:tbl>
      <w:tblPr>
        <w:tblW w:type="dxa" w:w="9360"/>
        <w:jc w:val="left"/>
        <w:tblLayout w:type="fixed"/>
        <w:tblLook w:firstColumn="1" w:firstRow="1" w:lastColumn="0" w:lastRow="0" w:noHBand="0" w:noVBand="1" w:val="04A0"/>
        <w:tblInd w:type="dxa" w:w="180"/>
      </w:tblPr>
      <w:tblGrid>
        <w:gridCol w:w="9360"/>
      </w:tblGrid>
      <w:tr>
        <w:trPr>
          <w:cantSplit/>
        </w:trPr>
        <w:tc>
          <w:tcPr>
            <w:tcW w:type="dxa" w:w="9360"/>
            <w:shd w:fill="E8EEF5"/>
            <w:tcBorders>
              <w:top w:val="nil"/>
              <w:left w:val="single" w:sz="20" w:color="0B7285"/>
              <w:bottom w:val="nil"/>
              <w:right w:val="nil"/>
            </w:tcBorders>
            <w:tcMar>
              <w:top w:w="120" w:type="dxa"/>
              <w:bottom w:w="120" w:type="dxa"/>
              <w:start w:w="180" w:type="dxa"/>
              <w:end w:w="180" w:type="dxa"/>
            </w:tcMar>
          </w:tcPr>
          <w:p>
            <w:pPr>
              <w:spacing w:before="60" w:after="60"/>
            </w:pPr>
            <w:r>
              <w:rPr>
                <w:rFonts w:ascii="Calibri" w:hAnsi="Calibri"/>
                <w:b/>
                <w:color w:val="0B7285"/>
              </w:rPr>
              <w:t xml:space="preserve">Décision. </w:t>
            </w:r>
            <w:r>
              <w:rPr>
                <w:rFonts w:ascii="Calibri" w:hAnsi="Calibri"/>
                <w:color w:val="1D2630"/>
              </w:rPr>
              <w:t>Potentiel estimé : 76/100. La meilleure porte d'entrée est l'accompagnement local du déploiement WMS KN SwiftLOG / Blue Yonder, complété par les besoins EDI, data, tests, cutover, cloud et gouvernance IT.</w:t>
            </w:r>
          </w:p>
        </w:tc>
      </w:tr>
    </w:tbl>
    <w:p>
      <w:pPr>
        <w:spacing w:after="0"/>
      </w:pPr>
    </w:p>
    <w:p>
      <w:pPr>
        <w:spacing w:before="840"/>
      </w:pPr>
      <w:r>
        <w:rPr>
          <w:rFonts w:ascii="Calibri" w:hAnsi="Calibri"/>
          <w:i/>
          <w:color w:val="5B6573"/>
          <w:sz w:val="18"/>
        </w:rPr>
        <w:t>Document confidentiel - Usage interne Tilencia</w:t>
      </w:r>
    </w:p>
    <w:p>
      <w:r>
        <w:br w:type="page"/>
      </w:r>
    </w:p>
    <w:p>
      <w:pPr>
        <w:pStyle w:val="Heading1"/>
      </w:pPr>
      <w:r>
        <w:t>Sommaire</w:t>
      </w:r>
    </w:p>
    <w:p>
      <w:pPr>
        <w:spacing w:after="100"/>
        <w:ind w:left="288"/>
      </w:pPr>
      <w:r>
        <w:rPr>
          <w:rFonts w:ascii="Calibri" w:hAnsi="Calibri"/>
          <w:color w:val="0B2545"/>
          <w:sz w:val="21"/>
        </w:rPr>
        <w:t>1. Synthèse et décision commerciale</w:t>
      </w:r>
    </w:p>
    <w:p>
      <w:pPr>
        <w:spacing w:after="100"/>
        <w:ind w:left="288"/>
      </w:pPr>
      <w:r>
        <w:rPr>
          <w:rFonts w:ascii="Calibri" w:hAnsi="Calibri"/>
          <w:color w:val="0B2545"/>
          <w:sz w:val="21"/>
        </w:rPr>
        <w:t>2. Carte d'identité et organisation française</w:t>
      </w:r>
    </w:p>
    <w:p>
      <w:pPr>
        <w:spacing w:after="100"/>
        <w:ind w:left="288"/>
      </w:pPr>
      <w:r>
        <w:rPr>
          <w:rFonts w:ascii="Calibri" w:hAnsi="Calibri"/>
          <w:color w:val="0B2545"/>
          <w:sz w:val="21"/>
        </w:rPr>
        <w:t>3. Enjeux stratégiques et signaux de transformation</w:t>
      </w:r>
    </w:p>
    <w:p>
      <w:pPr>
        <w:spacing w:after="100"/>
        <w:ind w:left="288"/>
      </w:pPr>
      <w:r>
        <w:rPr>
          <w:rFonts w:ascii="Calibri" w:hAnsi="Calibri"/>
          <w:color w:val="0B2545"/>
          <w:sz w:val="21"/>
        </w:rPr>
        <w:t>4. Potentiel pour Tilencia et axes d'offres</w:t>
      </w:r>
    </w:p>
    <w:p>
      <w:pPr>
        <w:spacing w:after="100"/>
        <w:ind w:left="288"/>
      </w:pPr>
      <w:r>
        <w:rPr>
          <w:rFonts w:ascii="Calibri" w:hAnsi="Calibri"/>
          <w:color w:val="0B2545"/>
          <w:sz w:val="21"/>
        </w:rPr>
        <w:t>5. Cartographie des décideurs et circuit d'influence</w:t>
      </w:r>
    </w:p>
    <w:p>
      <w:pPr>
        <w:spacing w:after="100"/>
        <w:ind w:left="288"/>
      </w:pPr>
      <w:r>
        <w:rPr>
          <w:rFonts w:ascii="Calibri" w:hAnsi="Calibri"/>
          <w:color w:val="0B2545"/>
          <w:sz w:val="21"/>
        </w:rPr>
        <w:t>6. Profils à constituer et à adresser</w:t>
      </w:r>
    </w:p>
    <w:p>
      <w:pPr>
        <w:spacing w:after="100"/>
        <w:ind w:left="288"/>
      </w:pPr>
      <w:r>
        <w:rPr>
          <w:rFonts w:ascii="Calibri" w:hAnsi="Calibri"/>
          <w:color w:val="0B2545"/>
          <w:sz w:val="21"/>
        </w:rPr>
        <w:t>7. Stratégie de pénétration du compte</w:t>
      </w:r>
    </w:p>
    <w:p>
      <w:pPr>
        <w:spacing w:after="100"/>
        <w:ind w:left="288"/>
      </w:pPr>
      <w:r>
        <w:rPr>
          <w:rFonts w:ascii="Calibri" w:hAnsi="Calibri"/>
          <w:color w:val="0B2545"/>
          <w:sz w:val="21"/>
        </w:rPr>
        <w:t>8. Messages et courriels prêts à l'emploi</w:t>
      </w:r>
    </w:p>
    <w:p>
      <w:pPr>
        <w:spacing w:after="100"/>
        <w:ind w:left="288"/>
      </w:pPr>
      <w:r>
        <w:rPr>
          <w:rFonts w:ascii="Calibri" w:hAnsi="Calibri"/>
          <w:color w:val="0B2545"/>
          <w:sz w:val="21"/>
        </w:rPr>
        <w:t>9. Plan d'action détaillé 30/60/90 jours</w:t>
      </w:r>
    </w:p>
    <w:p>
      <w:pPr>
        <w:spacing w:after="100"/>
        <w:ind w:left="288"/>
      </w:pPr>
      <w:r>
        <w:rPr>
          <w:rFonts w:ascii="Calibri" w:hAnsi="Calibri"/>
          <w:color w:val="0B2545"/>
          <w:sz w:val="21"/>
        </w:rPr>
        <w:t>10. Pilotage Dolibarr, SmartRecruiters et KPI</w:t>
      </w:r>
    </w:p>
    <w:p>
      <w:pPr>
        <w:spacing w:after="100"/>
        <w:ind w:left="288"/>
      </w:pPr>
      <w:r>
        <w:rPr>
          <w:rFonts w:ascii="Calibri" w:hAnsi="Calibri"/>
          <w:color w:val="0B2545"/>
          <w:sz w:val="21"/>
        </w:rPr>
        <w:t>11. Risques, objections et réponses</w:t>
      </w:r>
    </w:p>
    <w:p>
      <w:pPr>
        <w:spacing w:after="100"/>
        <w:ind w:left="288"/>
      </w:pPr>
      <w:r>
        <w:rPr>
          <w:rFonts w:ascii="Calibri" w:hAnsi="Calibri"/>
          <w:color w:val="0B2545"/>
          <w:sz w:val="21"/>
        </w:rPr>
        <w:t>12. Points à vérifier et sources</w:t>
      </w:r>
    </w:p>
    <w:p>
      <w:r>
        <w:br w:type="page"/>
      </w:r>
    </w:p>
    <w:p>
      <w:pPr>
        <w:pStyle w:val="Heading1"/>
      </w:pPr>
      <w:r>
        <w:t>1. Synthèse et décision commerciale</w:t>
      </w:r>
    </w:p>
    <w:p>
      <w:r>
        <w:rPr>
          <w:rFonts w:ascii="Calibri" w:hAnsi="Calibri"/>
          <w:color w:val="1D2630"/>
        </w:rPr>
        <w:t>Kuehne+Nagel France doit être traité comme un compte stratégique à potentiel élevé, mais à accès sélectif. La taille du réseau français, la diversité des métiers logistiques et le déploiement mondial d'un nouveau socle WMS créent un besoin probable de compétences locales en pilotage, intégration, data, tests et conduite du changement.</w:t>
      </w:r>
    </w:p>
    <w:tbl>
      <w:tblPr>
        <w:tblW w:type="dxa" w:w="9360"/>
        <w:jc w:val="left"/>
        <w:tblLayout w:type="fixed"/>
        <w:tblLook w:firstColumn="1" w:firstRow="1" w:lastColumn="0" w:lastRow="0" w:noHBand="0" w:noVBand="1" w:val="04A0"/>
        <w:tblInd w:type="dxa" w:w="180"/>
      </w:tblPr>
      <w:tblGrid>
        <w:gridCol w:w="9360"/>
      </w:tblGrid>
      <w:tr>
        <w:trPr>
          <w:cantSplit/>
        </w:trPr>
        <w:tc>
          <w:tcPr>
            <w:tcW w:type="dxa" w:w="9360"/>
            <w:shd w:fill="E8EEF5"/>
            <w:tcBorders>
              <w:top w:val="nil"/>
              <w:left w:val="single" w:sz="20" w:color="0B7285"/>
              <w:bottom w:val="nil"/>
              <w:right w:val="nil"/>
            </w:tcBorders>
            <w:tcMar>
              <w:top w:w="120" w:type="dxa"/>
              <w:bottom w:w="120" w:type="dxa"/>
              <w:start w:w="180" w:type="dxa"/>
              <w:end w:w="180" w:type="dxa"/>
            </w:tcMar>
          </w:tcPr>
          <w:p>
            <w:pPr>
              <w:spacing w:before="60" w:after="60"/>
            </w:pPr>
            <w:r>
              <w:rPr>
                <w:rFonts w:ascii="Calibri" w:hAnsi="Calibri"/>
                <w:b/>
                <w:color w:val="0B7285"/>
              </w:rPr>
              <w:t xml:space="preserve">Recommandation. </w:t>
            </w:r>
            <w:r>
              <w:rPr>
                <w:rFonts w:ascii="Calibri" w:hAnsi="Calibri"/>
                <w:color w:val="1D2630"/>
              </w:rPr>
              <w:t>Lancer une approche ciblée par la Direction IT France/Maghreb et la Gouvernance IT. Obtenir un sponsor métier ou IT avant d'engager la Direction Achats. Tilencia doit se présenter comme un partenaire français agile capable de sécuriser les déploiements locaux, et non comme une ESN généraliste.</w:t>
            </w:r>
          </w:p>
        </w:tc>
      </w:tr>
    </w:tbl>
    <w:p>
      <w:pPr>
        <w:spacing w:after="0"/>
      </w:pPr>
    </w:p>
    <w:p>
      <w:pPr>
        <w:pStyle w:val="Heading2"/>
      </w:pPr>
      <w:r>
        <w:t>1.1 Score de potentiel</w:t>
      </w:r>
    </w:p>
    <w:tbl>
      <w:tblPr>
        <w:tblStyle w:val="TableGrid"/>
        <w:tblW w:type="dxa" w:w="9360"/>
        <w:jc w:val="left"/>
        <w:tblLayout w:type="fixed"/>
        <w:tblLook w:firstColumn="1" w:firstRow="1" w:lastColumn="0" w:lastRow="0" w:noHBand="0" w:noVBand="1" w:val="04A0"/>
        <w:tblInd w:type="dxa" w:w="120"/>
      </w:tblPr>
      <w:tblGrid>
        <w:gridCol w:w="2880"/>
        <w:gridCol w:w="1296"/>
        <w:gridCol w:w="5184"/>
      </w:tblGrid>
      <w:tr>
        <w:trPr>
          <w:tblHeader w:val="true"/>
          <w:cantSplit/>
        </w:trPr>
        <w:tc>
          <w:tcPr>
            <w:tcW w:type="dxa" w:w="2880"/>
            <w:shd w:fill="F2F4F7"/>
            <w:vAlign w:val="center"/>
            <w:tcMar>
              <w:top w:w="80" w:type="dxa"/>
              <w:bottom w:w="80" w:type="dxa"/>
              <w:start w:w="120" w:type="dxa"/>
              <w:end w:w="120" w:type="dxa"/>
            </w:tcMar>
          </w:tcPr>
          <w:p>
            <w:pPr>
              <w:spacing w:before="20" w:after="20"/>
            </w:pPr>
            <w:r>
              <w:rPr>
                <w:rFonts w:ascii="Calibri" w:hAnsi="Calibri"/>
                <w:b/>
                <w:color w:val="0B2545"/>
                <w:sz w:val="19"/>
              </w:rPr>
              <w:t>Critère</w:t>
            </w:r>
          </w:p>
        </w:tc>
        <w:tc>
          <w:tcPr>
            <w:tcW w:type="dxa" w:w="1296"/>
            <w:shd w:fill="F2F4F7"/>
            <w:vAlign w:val="center"/>
            <w:tcMar>
              <w:top w:w="80" w:type="dxa"/>
              <w:bottom w:w="80" w:type="dxa"/>
              <w:start w:w="120" w:type="dxa"/>
              <w:end w:w="120" w:type="dxa"/>
            </w:tcMar>
          </w:tcPr>
          <w:p>
            <w:pPr>
              <w:spacing w:before="20" w:after="20"/>
            </w:pPr>
            <w:r>
              <w:rPr>
                <w:rFonts w:ascii="Calibri" w:hAnsi="Calibri"/>
                <w:b/>
                <w:color w:val="0B2545"/>
                <w:sz w:val="19"/>
              </w:rPr>
              <w:t>Score</w:t>
            </w:r>
          </w:p>
        </w:tc>
        <w:tc>
          <w:tcPr>
            <w:tcW w:type="dxa" w:w="5184"/>
            <w:shd w:fill="F2F4F7"/>
            <w:vAlign w:val="center"/>
            <w:tcMar>
              <w:top w:w="80" w:type="dxa"/>
              <w:bottom w:w="80" w:type="dxa"/>
              <w:start w:w="120" w:type="dxa"/>
              <w:end w:w="120" w:type="dxa"/>
            </w:tcMar>
          </w:tcPr>
          <w:p>
            <w:pPr>
              <w:spacing w:before="20" w:after="20"/>
            </w:pPr>
            <w:r>
              <w:rPr>
                <w:rFonts w:ascii="Calibri" w:hAnsi="Calibri"/>
                <w:b/>
                <w:color w:val="0B2545"/>
                <w:sz w:val="19"/>
              </w:rPr>
              <w:t>Lecture</w:t>
            </w:r>
          </w:p>
        </w:tc>
      </w:tr>
      <w:tr>
        <w:trPr>
          <w:cantSplit/>
        </w:trPr>
        <w:tc>
          <w:tcPr>
            <w:tcW w:type="dxa" w:w="2880"/>
            <w:vAlign w:val="top"/>
            <w:tcMar>
              <w:top w:w="80" w:type="dxa"/>
              <w:bottom w:w="80" w:type="dxa"/>
              <w:start w:w="120" w:type="dxa"/>
              <w:end w:w="120" w:type="dxa"/>
            </w:tcMar>
          </w:tcPr>
          <w:p>
            <w:pPr>
              <w:spacing w:before="0" w:after="40" w:line="240" w:lineRule="auto"/>
            </w:pPr>
            <w:r>
              <w:rPr>
                <w:rFonts w:ascii="Calibri" w:hAnsi="Calibri"/>
                <w:b/>
                <w:color w:val="1D2630"/>
                <w:sz w:val="19"/>
              </w:rPr>
              <w:t>Taille et empreinte française</w:t>
            </w:r>
          </w:p>
        </w:tc>
        <w:tc>
          <w:tcPr>
            <w:tcW w:type="dxa" w:w="1296"/>
            <w:vAlign w:val="top"/>
            <w:tcMar>
              <w:top w:w="80" w:type="dxa"/>
              <w:bottom w:w="80" w:type="dxa"/>
              <w:start w:w="120" w:type="dxa"/>
              <w:end w:w="120" w:type="dxa"/>
            </w:tcMar>
          </w:tcPr>
          <w:p>
            <w:pPr>
              <w:spacing w:before="0" w:after="40" w:line="240" w:lineRule="auto"/>
            </w:pPr>
            <w:r>
              <w:rPr>
                <w:rFonts w:ascii="Calibri" w:hAnsi="Calibri"/>
                <w:b w:val="0"/>
                <w:color w:val="1D2630"/>
                <w:sz w:val="19"/>
              </w:rPr>
              <w:t>18/20</w:t>
            </w:r>
          </w:p>
        </w:tc>
        <w:tc>
          <w:tcPr>
            <w:tcW w:type="dxa" w:w="5184"/>
            <w:vAlign w:val="top"/>
            <w:tcMar>
              <w:top w:w="80" w:type="dxa"/>
              <w:bottom w:w="80" w:type="dxa"/>
              <w:start w:w="120" w:type="dxa"/>
              <w:end w:w="120" w:type="dxa"/>
            </w:tcMar>
          </w:tcPr>
          <w:p>
            <w:pPr>
              <w:spacing w:before="0" w:after="40" w:line="240" w:lineRule="auto"/>
            </w:pPr>
            <w:r>
              <w:rPr>
                <w:rFonts w:ascii="Calibri" w:hAnsi="Calibri"/>
                <w:b w:val="0"/>
                <w:color w:val="1D2630"/>
                <w:sz w:val="19"/>
              </w:rPr>
              <w:t>Environ 125 sites et 8 500 permanents : volume et diversité de besoins.</w:t>
            </w:r>
          </w:p>
        </w:tc>
      </w:tr>
      <w:tr>
        <w:trPr>
          <w:cantSplit/>
        </w:trPr>
        <w:tc>
          <w:tcPr>
            <w:tcW w:type="dxa" w:w="2880"/>
            <w:vAlign w:val="top"/>
            <w:tcMar>
              <w:top w:w="80" w:type="dxa"/>
              <w:bottom w:w="80" w:type="dxa"/>
              <w:start w:w="120" w:type="dxa"/>
              <w:end w:w="120" w:type="dxa"/>
            </w:tcMar>
          </w:tcPr>
          <w:p>
            <w:pPr>
              <w:spacing w:before="0" w:after="40" w:line="240" w:lineRule="auto"/>
            </w:pPr>
            <w:r>
              <w:rPr>
                <w:rFonts w:ascii="Calibri" w:hAnsi="Calibri"/>
                <w:b/>
                <w:color w:val="1D2630"/>
                <w:sz w:val="19"/>
              </w:rPr>
              <w:t>Timing de transformation</w:t>
            </w:r>
          </w:p>
        </w:tc>
        <w:tc>
          <w:tcPr>
            <w:tcW w:type="dxa" w:w="1296"/>
            <w:vAlign w:val="top"/>
            <w:tcMar>
              <w:top w:w="80" w:type="dxa"/>
              <w:bottom w:w="80" w:type="dxa"/>
              <w:start w:w="120" w:type="dxa"/>
              <w:end w:w="120" w:type="dxa"/>
            </w:tcMar>
          </w:tcPr>
          <w:p>
            <w:pPr>
              <w:spacing w:before="0" w:after="40" w:line="240" w:lineRule="auto"/>
            </w:pPr>
            <w:r>
              <w:rPr>
                <w:rFonts w:ascii="Calibri" w:hAnsi="Calibri"/>
                <w:b w:val="0"/>
                <w:color w:val="1D2630"/>
                <w:sz w:val="19"/>
              </w:rPr>
              <w:t>18/20</w:t>
            </w:r>
          </w:p>
        </w:tc>
        <w:tc>
          <w:tcPr>
            <w:tcW w:type="dxa" w:w="5184"/>
            <w:vAlign w:val="top"/>
            <w:tcMar>
              <w:top w:w="80" w:type="dxa"/>
              <w:bottom w:w="80" w:type="dxa"/>
              <w:start w:w="120" w:type="dxa"/>
              <w:end w:w="120" w:type="dxa"/>
            </w:tcMar>
          </w:tcPr>
          <w:p>
            <w:pPr>
              <w:spacing w:before="0" w:after="40" w:line="240" w:lineRule="auto"/>
            </w:pPr>
            <w:r>
              <w:rPr>
                <w:rFonts w:ascii="Calibri" w:hAnsi="Calibri"/>
                <w:b w:val="0"/>
                <w:color w:val="1D2630"/>
                <w:sz w:val="19"/>
              </w:rPr>
              <w:t>Déploiement cloud WMS mondial engagé depuis avril 2026.</w:t>
            </w:r>
          </w:p>
        </w:tc>
      </w:tr>
      <w:tr>
        <w:trPr>
          <w:cantSplit/>
        </w:trPr>
        <w:tc>
          <w:tcPr>
            <w:tcW w:type="dxa" w:w="2880"/>
            <w:vAlign w:val="top"/>
            <w:tcMar>
              <w:top w:w="80" w:type="dxa"/>
              <w:bottom w:w="80" w:type="dxa"/>
              <w:start w:w="120" w:type="dxa"/>
              <w:end w:w="120" w:type="dxa"/>
            </w:tcMar>
          </w:tcPr>
          <w:p>
            <w:pPr>
              <w:spacing w:before="0" w:after="40" w:line="240" w:lineRule="auto"/>
            </w:pPr>
            <w:r>
              <w:rPr>
                <w:rFonts w:ascii="Calibri" w:hAnsi="Calibri"/>
                <w:b/>
                <w:color w:val="1D2630"/>
                <w:sz w:val="19"/>
              </w:rPr>
              <w:t>Adéquation aux offres Tilencia</w:t>
            </w:r>
          </w:p>
        </w:tc>
        <w:tc>
          <w:tcPr>
            <w:tcW w:type="dxa" w:w="1296"/>
            <w:vAlign w:val="top"/>
            <w:tcMar>
              <w:top w:w="80" w:type="dxa"/>
              <w:bottom w:w="80" w:type="dxa"/>
              <w:start w:w="120" w:type="dxa"/>
              <w:end w:w="120" w:type="dxa"/>
            </w:tcMar>
          </w:tcPr>
          <w:p>
            <w:pPr>
              <w:spacing w:before="0" w:after="40" w:line="240" w:lineRule="auto"/>
            </w:pPr>
            <w:r>
              <w:rPr>
                <w:rFonts w:ascii="Calibri" w:hAnsi="Calibri"/>
                <w:b w:val="0"/>
                <w:color w:val="1D2630"/>
                <w:sz w:val="19"/>
              </w:rPr>
              <w:t>17/20</w:t>
            </w:r>
          </w:p>
        </w:tc>
        <w:tc>
          <w:tcPr>
            <w:tcW w:type="dxa" w:w="5184"/>
            <w:vAlign w:val="top"/>
            <w:tcMar>
              <w:top w:w="80" w:type="dxa"/>
              <w:bottom w:w="80" w:type="dxa"/>
              <w:start w:w="120" w:type="dxa"/>
              <w:end w:w="120" w:type="dxa"/>
            </w:tcMar>
          </w:tcPr>
          <w:p>
            <w:pPr>
              <w:spacing w:before="0" w:after="40" w:line="240" w:lineRule="auto"/>
            </w:pPr>
            <w:r>
              <w:rPr>
                <w:rFonts w:ascii="Calibri" w:hAnsi="Calibri"/>
                <w:b w:val="0"/>
                <w:color w:val="1D2630"/>
                <w:sz w:val="19"/>
              </w:rPr>
              <w:t>WMS, EDI, data, cloud, cyber, PMO, tests et gouvernance.</w:t>
            </w:r>
          </w:p>
        </w:tc>
      </w:tr>
      <w:tr>
        <w:trPr>
          <w:cantSplit/>
        </w:trPr>
        <w:tc>
          <w:tcPr>
            <w:tcW w:type="dxa" w:w="2880"/>
            <w:vAlign w:val="top"/>
            <w:tcMar>
              <w:top w:w="80" w:type="dxa"/>
              <w:bottom w:w="80" w:type="dxa"/>
              <w:start w:w="120" w:type="dxa"/>
              <w:end w:w="120" w:type="dxa"/>
            </w:tcMar>
          </w:tcPr>
          <w:p>
            <w:pPr>
              <w:spacing w:before="0" w:after="40" w:line="240" w:lineRule="auto"/>
            </w:pPr>
            <w:r>
              <w:rPr>
                <w:rFonts w:ascii="Calibri" w:hAnsi="Calibri"/>
                <w:b/>
                <w:color w:val="1D2630"/>
                <w:sz w:val="19"/>
              </w:rPr>
              <w:t>Accessibilité du compte</w:t>
            </w:r>
          </w:p>
        </w:tc>
        <w:tc>
          <w:tcPr>
            <w:tcW w:type="dxa" w:w="1296"/>
            <w:vAlign w:val="top"/>
            <w:tcMar>
              <w:top w:w="80" w:type="dxa"/>
              <w:bottom w:w="80" w:type="dxa"/>
              <w:start w:w="120" w:type="dxa"/>
              <w:end w:w="120" w:type="dxa"/>
            </w:tcMar>
          </w:tcPr>
          <w:p>
            <w:pPr>
              <w:spacing w:before="0" w:after="40" w:line="240" w:lineRule="auto"/>
            </w:pPr>
            <w:r>
              <w:rPr>
                <w:rFonts w:ascii="Calibri" w:hAnsi="Calibri"/>
                <w:b w:val="0"/>
                <w:color w:val="1D2630"/>
                <w:sz w:val="19"/>
              </w:rPr>
              <w:t>10/20</w:t>
            </w:r>
          </w:p>
        </w:tc>
        <w:tc>
          <w:tcPr>
            <w:tcW w:type="dxa" w:w="5184"/>
            <w:vAlign w:val="top"/>
            <w:tcMar>
              <w:top w:w="80" w:type="dxa"/>
              <w:bottom w:w="80" w:type="dxa"/>
              <w:start w:w="120" w:type="dxa"/>
              <w:end w:w="120" w:type="dxa"/>
            </w:tcMar>
          </w:tcPr>
          <w:p>
            <w:pPr>
              <w:spacing w:before="0" w:after="40" w:line="240" w:lineRule="auto"/>
            </w:pPr>
            <w:r>
              <w:rPr>
                <w:rFonts w:ascii="Calibri" w:hAnsi="Calibri"/>
                <w:b w:val="0"/>
                <w:color w:val="1D2630"/>
                <w:sz w:val="19"/>
              </w:rPr>
              <w:t>Décisions globales, panel achats structuré et partenaires majeurs déjà en place.</w:t>
            </w:r>
          </w:p>
        </w:tc>
      </w:tr>
      <w:tr>
        <w:trPr>
          <w:cantSplit/>
        </w:trPr>
        <w:tc>
          <w:tcPr>
            <w:tcW w:type="dxa" w:w="2880"/>
            <w:vAlign w:val="top"/>
            <w:tcMar>
              <w:top w:w="80" w:type="dxa"/>
              <w:bottom w:w="80" w:type="dxa"/>
              <w:start w:w="120" w:type="dxa"/>
              <w:end w:w="120" w:type="dxa"/>
            </w:tcMar>
          </w:tcPr>
          <w:p>
            <w:pPr>
              <w:spacing w:before="0" w:after="40" w:line="240" w:lineRule="auto"/>
            </w:pPr>
            <w:r>
              <w:rPr>
                <w:rFonts w:ascii="Calibri" w:hAnsi="Calibri"/>
                <w:b/>
                <w:color w:val="1D2630"/>
                <w:sz w:val="19"/>
              </w:rPr>
              <w:t>Potentiel économique</w:t>
            </w:r>
          </w:p>
        </w:tc>
        <w:tc>
          <w:tcPr>
            <w:tcW w:type="dxa" w:w="1296"/>
            <w:vAlign w:val="top"/>
            <w:tcMar>
              <w:top w:w="80" w:type="dxa"/>
              <w:bottom w:w="80" w:type="dxa"/>
              <w:start w:w="120" w:type="dxa"/>
              <w:end w:w="120" w:type="dxa"/>
            </w:tcMar>
          </w:tcPr>
          <w:p>
            <w:pPr>
              <w:spacing w:before="0" w:after="40" w:line="240" w:lineRule="auto"/>
            </w:pPr>
            <w:r>
              <w:rPr>
                <w:rFonts w:ascii="Calibri" w:hAnsi="Calibri"/>
                <w:b w:val="0"/>
                <w:color w:val="1D2630"/>
                <w:sz w:val="19"/>
              </w:rPr>
              <w:t>13/20</w:t>
            </w:r>
          </w:p>
        </w:tc>
        <w:tc>
          <w:tcPr>
            <w:tcW w:type="dxa" w:w="5184"/>
            <w:vAlign w:val="top"/>
            <w:tcMar>
              <w:top w:w="80" w:type="dxa"/>
              <w:bottom w:w="80" w:type="dxa"/>
              <w:start w:w="120" w:type="dxa"/>
              <w:end w:w="120" w:type="dxa"/>
            </w:tcMar>
          </w:tcPr>
          <w:p>
            <w:pPr>
              <w:spacing w:before="0" w:after="40" w:line="240" w:lineRule="auto"/>
            </w:pPr>
            <w:r>
              <w:rPr>
                <w:rFonts w:ascii="Calibri" w:hAnsi="Calibri"/>
                <w:b w:val="0"/>
                <w:color w:val="1D2630"/>
                <w:sz w:val="19"/>
              </w:rPr>
              <w:t>Fort potentiel à terme, mais première entrée probablement limitée à 1 ou 2 ressources.</w:t>
            </w:r>
          </w:p>
        </w:tc>
      </w:tr>
      <w:tr>
        <w:trPr>
          <w:cantSplit/>
        </w:trPr>
        <w:tc>
          <w:tcPr>
            <w:tcW w:type="dxa" w:w="2880"/>
            <w:vAlign w:val="top"/>
            <w:tcMar>
              <w:top w:w="80" w:type="dxa"/>
              <w:bottom w:w="80" w:type="dxa"/>
              <w:start w:w="120" w:type="dxa"/>
              <w:end w:w="120" w:type="dxa"/>
            </w:tcMar>
          </w:tcPr>
          <w:p>
            <w:pPr>
              <w:spacing w:before="0" w:after="40" w:line="240" w:lineRule="auto"/>
            </w:pPr>
            <w:r>
              <w:rPr>
                <w:rFonts w:ascii="Calibri" w:hAnsi="Calibri"/>
                <w:b/>
                <w:color w:val="1D2630"/>
                <w:sz w:val="19"/>
              </w:rPr>
              <w:t>TOTAL</w:t>
            </w:r>
          </w:p>
        </w:tc>
        <w:tc>
          <w:tcPr>
            <w:tcW w:type="dxa" w:w="1296"/>
            <w:vAlign w:val="top"/>
            <w:tcMar>
              <w:top w:w="80" w:type="dxa"/>
              <w:bottom w:w="80" w:type="dxa"/>
              <w:start w:w="120" w:type="dxa"/>
              <w:end w:w="120" w:type="dxa"/>
            </w:tcMar>
          </w:tcPr>
          <w:p>
            <w:pPr>
              <w:spacing w:before="0" w:after="40" w:line="240" w:lineRule="auto"/>
            </w:pPr>
            <w:r>
              <w:rPr>
                <w:rFonts w:ascii="Calibri" w:hAnsi="Calibri"/>
                <w:b w:val="0"/>
                <w:color w:val="1D2630"/>
                <w:sz w:val="19"/>
              </w:rPr>
              <w:t>76/100</w:t>
            </w:r>
          </w:p>
        </w:tc>
        <w:tc>
          <w:tcPr>
            <w:tcW w:type="dxa" w:w="5184"/>
            <w:vAlign w:val="top"/>
            <w:tcMar>
              <w:top w:w="80" w:type="dxa"/>
              <w:bottom w:w="80" w:type="dxa"/>
              <w:start w:w="120" w:type="dxa"/>
              <w:end w:w="120" w:type="dxa"/>
            </w:tcMar>
          </w:tcPr>
          <w:p>
            <w:pPr>
              <w:spacing w:before="0" w:after="40" w:line="240" w:lineRule="auto"/>
            </w:pPr>
            <w:r>
              <w:rPr>
                <w:rFonts w:ascii="Calibri" w:hAnsi="Calibri"/>
                <w:b w:val="0"/>
                <w:color w:val="1D2630"/>
                <w:sz w:val="19"/>
              </w:rPr>
              <w:t>GO commercial avec ciblage précis et approche progressive.</w:t>
            </w:r>
          </w:p>
        </w:tc>
      </w:tr>
    </w:tbl>
    <w:p>
      <w:pPr>
        <w:spacing w:after="0"/>
      </w:pPr>
    </w:p>
    <w:p>
      <w:pPr>
        <w:pStyle w:val="Heading2"/>
      </w:pPr>
      <w:r>
        <w:t>1.2 Objectifs commerciaux proposés</w:t>
      </w:r>
    </w:p>
    <w:p>
      <w:pPr>
        <w:pStyle w:val="ListBullet"/>
      </w:pPr>
      <w:r>
        <w:rPr>
          <w:rFonts w:ascii="Calibri" w:hAnsi="Calibri"/>
          <w:color w:val="1D2630"/>
        </w:rPr>
        <w:t>Sous 30 jours : obtenir au moins un échange qualifié avec la Direction IT ou la Gouvernance IT.</w:t>
      </w:r>
    </w:p>
    <w:p>
      <w:pPr>
        <w:pStyle w:val="ListBullet"/>
      </w:pPr>
      <w:r>
        <w:rPr>
          <w:rFonts w:ascii="Calibri" w:hAnsi="Calibri"/>
          <w:color w:val="1D2630"/>
        </w:rPr>
        <w:t>Sous 60 jours : comprendre le calendrier français des déploiements WMS et le processus de référencement des prestataires IT.</w:t>
      </w:r>
    </w:p>
    <w:p>
      <w:pPr>
        <w:pStyle w:val="ListBullet"/>
      </w:pPr>
      <w:r>
        <w:rPr>
          <w:rFonts w:ascii="Calibri" w:hAnsi="Calibri"/>
          <w:color w:val="1D2630"/>
        </w:rPr>
        <w:t>Sous 90 jours : présenter 3 à 5 profils qualifiés et obtenir une première opportunité ou une entrée dans le panel.</w:t>
      </w:r>
    </w:p>
    <w:p>
      <w:pPr>
        <w:pStyle w:val="ListBullet"/>
      </w:pPr>
      <w:r>
        <w:rPr>
          <w:rFonts w:ascii="Calibri" w:hAnsi="Calibri"/>
          <w:color w:val="1D2630"/>
        </w:rPr>
        <w:t>À 12 mois : installer 3 à 6 consultants, soit un potentiel annuel estimatif de 450 k€ à 1 M€ de chiffre d'affaires.</w:t>
      </w:r>
    </w:p>
    <w:p>
      <w:pPr>
        <w:pStyle w:val="Heading1"/>
      </w:pPr>
      <w:r>
        <w:t>2. Carte d'identité et organisation française</w:t>
      </w:r>
    </w:p>
    <w:tbl>
      <w:tblPr>
        <w:tblStyle w:val="TableGrid"/>
        <w:tblW w:type="dxa" w:w="9360"/>
        <w:jc w:val="left"/>
        <w:tblLayout w:type="fixed"/>
        <w:tblLook w:firstColumn="1" w:firstRow="1" w:lastColumn="0" w:lastRow="0" w:noHBand="0" w:noVBand="1" w:val="04A0"/>
        <w:tblInd w:type="dxa" w:w="120"/>
      </w:tblPr>
      <w:tblGrid>
        <w:gridCol w:w="2232"/>
        <w:gridCol w:w="4968"/>
        <w:gridCol w:w="2160"/>
      </w:tblGrid>
      <w:tr>
        <w:trPr>
          <w:tblHeader w:val="true"/>
          <w:cantSplit/>
        </w:trPr>
        <w:tc>
          <w:tcPr>
            <w:tcW w:type="dxa" w:w="2232"/>
            <w:shd w:fill="F2F4F7"/>
            <w:vAlign w:val="center"/>
            <w:tcMar>
              <w:top w:w="80" w:type="dxa"/>
              <w:bottom w:w="80" w:type="dxa"/>
              <w:start w:w="120" w:type="dxa"/>
              <w:end w:w="120" w:type="dxa"/>
            </w:tcMar>
          </w:tcPr>
          <w:p>
            <w:pPr>
              <w:spacing w:before="20" w:after="20"/>
            </w:pPr>
            <w:r>
              <w:rPr>
                <w:rFonts w:ascii="Calibri" w:hAnsi="Calibri"/>
                <w:b/>
                <w:color w:val="0B2545"/>
                <w:sz w:val="19"/>
              </w:rPr>
              <w:t>Donnée</w:t>
            </w:r>
          </w:p>
        </w:tc>
        <w:tc>
          <w:tcPr>
            <w:tcW w:type="dxa" w:w="4968"/>
            <w:shd w:fill="F2F4F7"/>
            <w:vAlign w:val="center"/>
            <w:tcMar>
              <w:top w:w="80" w:type="dxa"/>
              <w:bottom w:w="80" w:type="dxa"/>
              <w:start w:w="120" w:type="dxa"/>
              <w:end w:w="120" w:type="dxa"/>
            </w:tcMar>
          </w:tcPr>
          <w:p>
            <w:pPr>
              <w:spacing w:before="20" w:after="20"/>
            </w:pPr>
            <w:r>
              <w:rPr>
                <w:rFonts w:ascii="Calibri" w:hAnsi="Calibri"/>
                <w:b/>
                <w:color w:val="0B2545"/>
                <w:sz w:val="19"/>
              </w:rPr>
              <w:t>Information</w:t>
            </w:r>
          </w:p>
        </w:tc>
        <w:tc>
          <w:tcPr>
            <w:tcW w:type="dxa" w:w="2160"/>
            <w:shd w:fill="F2F4F7"/>
            <w:vAlign w:val="center"/>
            <w:tcMar>
              <w:top w:w="80" w:type="dxa"/>
              <w:bottom w:w="80" w:type="dxa"/>
              <w:start w:w="120" w:type="dxa"/>
              <w:end w:w="120" w:type="dxa"/>
            </w:tcMar>
          </w:tcPr>
          <w:p>
            <w:pPr>
              <w:spacing w:before="20" w:after="20"/>
            </w:pPr>
            <w:r>
              <w:rPr>
                <w:rFonts w:ascii="Calibri" w:hAnsi="Calibri"/>
                <w:b/>
                <w:color w:val="0B2545"/>
                <w:sz w:val="19"/>
              </w:rPr>
              <w:t>Statut</w:t>
            </w:r>
          </w:p>
        </w:tc>
      </w:tr>
      <w:tr>
        <w:trPr>
          <w:cantSplit/>
        </w:trPr>
        <w:tc>
          <w:tcPr>
            <w:tcW w:type="dxa" w:w="2232"/>
            <w:vAlign w:val="top"/>
            <w:tcMar>
              <w:top w:w="80" w:type="dxa"/>
              <w:bottom w:w="80" w:type="dxa"/>
              <w:start w:w="120" w:type="dxa"/>
              <w:end w:w="120" w:type="dxa"/>
            </w:tcMar>
          </w:tcPr>
          <w:p>
            <w:pPr>
              <w:spacing w:before="0" w:after="40" w:line="240" w:lineRule="auto"/>
            </w:pPr>
            <w:r>
              <w:rPr>
                <w:rFonts w:ascii="Calibri" w:hAnsi="Calibri"/>
                <w:b/>
                <w:color w:val="1D2630"/>
                <w:sz w:val="19"/>
              </w:rPr>
              <w:t>Groupe</w:t>
            </w:r>
          </w:p>
        </w:tc>
        <w:tc>
          <w:tcPr>
            <w:tcW w:type="dxa" w:w="4968"/>
            <w:vAlign w:val="top"/>
            <w:tcMar>
              <w:top w:w="80" w:type="dxa"/>
              <w:bottom w:w="80" w:type="dxa"/>
              <w:start w:w="120" w:type="dxa"/>
              <w:end w:w="120" w:type="dxa"/>
            </w:tcMar>
          </w:tcPr>
          <w:p>
            <w:pPr>
              <w:spacing w:before="0" w:after="40" w:line="240" w:lineRule="auto"/>
            </w:pPr>
            <w:r>
              <w:rPr>
                <w:rFonts w:ascii="Calibri" w:hAnsi="Calibri"/>
                <w:b w:val="0"/>
                <w:color w:val="1D2630"/>
                <w:sz w:val="19"/>
              </w:rPr>
              <w:t>Kuehne+Nagel International AG</w:t>
            </w:r>
          </w:p>
        </w:tc>
        <w:tc>
          <w:tcPr>
            <w:tcW w:type="dxa" w:w="2160"/>
            <w:vAlign w:val="top"/>
            <w:tcMar>
              <w:top w:w="80" w:type="dxa"/>
              <w:bottom w:w="80" w:type="dxa"/>
              <w:start w:w="120" w:type="dxa"/>
              <w:end w:w="120" w:type="dxa"/>
            </w:tcMar>
          </w:tcPr>
          <w:p>
            <w:pPr>
              <w:spacing w:before="0" w:after="40" w:line="240" w:lineRule="auto"/>
            </w:pPr>
            <w:r>
              <w:rPr>
                <w:rFonts w:ascii="Calibri" w:hAnsi="Calibri"/>
                <w:b w:val="0"/>
                <w:color w:val="1D2630"/>
                <w:sz w:val="19"/>
              </w:rPr>
              <w:t>Vérifié</w:t>
            </w:r>
          </w:p>
        </w:tc>
      </w:tr>
      <w:tr>
        <w:trPr>
          <w:cantSplit/>
        </w:trPr>
        <w:tc>
          <w:tcPr>
            <w:tcW w:type="dxa" w:w="2232"/>
            <w:vAlign w:val="top"/>
            <w:tcMar>
              <w:top w:w="80" w:type="dxa"/>
              <w:bottom w:w="80" w:type="dxa"/>
              <w:start w:w="120" w:type="dxa"/>
              <w:end w:w="120" w:type="dxa"/>
            </w:tcMar>
          </w:tcPr>
          <w:p>
            <w:pPr>
              <w:spacing w:before="0" w:after="40" w:line="240" w:lineRule="auto"/>
            </w:pPr>
            <w:r>
              <w:rPr>
                <w:rFonts w:ascii="Calibri" w:hAnsi="Calibri"/>
                <w:b/>
                <w:color w:val="1D2630"/>
                <w:sz w:val="19"/>
              </w:rPr>
              <w:t>Activités</w:t>
            </w:r>
          </w:p>
        </w:tc>
        <w:tc>
          <w:tcPr>
            <w:tcW w:type="dxa" w:w="4968"/>
            <w:vAlign w:val="top"/>
            <w:tcMar>
              <w:top w:w="80" w:type="dxa"/>
              <w:bottom w:w="80" w:type="dxa"/>
              <w:start w:w="120" w:type="dxa"/>
              <w:end w:w="120" w:type="dxa"/>
            </w:tcMar>
          </w:tcPr>
          <w:p>
            <w:pPr>
              <w:spacing w:before="0" w:after="40" w:line="240" w:lineRule="auto"/>
            </w:pPr>
            <w:r>
              <w:rPr>
                <w:rFonts w:ascii="Calibri" w:hAnsi="Calibri"/>
                <w:b w:val="0"/>
                <w:color w:val="1D2630"/>
                <w:sz w:val="19"/>
              </w:rPr>
              <w:t>Sea Logistics, Air Logistics, Road Logistics et Contract Logistics</w:t>
            </w:r>
          </w:p>
        </w:tc>
        <w:tc>
          <w:tcPr>
            <w:tcW w:type="dxa" w:w="2160"/>
            <w:vAlign w:val="top"/>
            <w:tcMar>
              <w:top w:w="80" w:type="dxa"/>
              <w:bottom w:w="80" w:type="dxa"/>
              <w:start w:w="120" w:type="dxa"/>
              <w:end w:w="120" w:type="dxa"/>
            </w:tcMar>
          </w:tcPr>
          <w:p>
            <w:pPr>
              <w:spacing w:before="0" w:after="40" w:line="240" w:lineRule="auto"/>
            </w:pPr>
            <w:r>
              <w:rPr>
                <w:rFonts w:ascii="Calibri" w:hAnsi="Calibri"/>
                <w:b w:val="0"/>
                <w:color w:val="1D2630"/>
                <w:sz w:val="19"/>
              </w:rPr>
              <w:t>Vérifié</w:t>
            </w:r>
          </w:p>
        </w:tc>
      </w:tr>
      <w:tr>
        <w:trPr>
          <w:cantSplit/>
        </w:trPr>
        <w:tc>
          <w:tcPr>
            <w:tcW w:type="dxa" w:w="2232"/>
            <w:vAlign w:val="top"/>
            <w:tcMar>
              <w:top w:w="80" w:type="dxa"/>
              <w:bottom w:w="80" w:type="dxa"/>
              <w:start w:w="120" w:type="dxa"/>
              <w:end w:w="120" w:type="dxa"/>
            </w:tcMar>
          </w:tcPr>
          <w:p>
            <w:pPr>
              <w:spacing w:before="0" w:after="40" w:line="240" w:lineRule="auto"/>
            </w:pPr>
            <w:r>
              <w:rPr>
                <w:rFonts w:ascii="Calibri" w:hAnsi="Calibri"/>
                <w:b/>
                <w:color w:val="1D2630"/>
                <w:sz w:val="19"/>
              </w:rPr>
              <w:t>Présidence France/Maghreb</w:t>
            </w:r>
          </w:p>
        </w:tc>
        <w:tc>
          <w:tcPr>
            <w:tcW w:type="dxa" w:w="4968"/>
            <w:vAlign w:val="top"/>
            <w:tcMar>
              <w:top w:w="80" w:type="dxa"/>
              <w:bottom w:w="80" w:type="dxa"/>
              <w:start w:w="120" w:type="dxa"/>
              <w:end w:w="120" w:type="dxa"/>
            </w:tcMar>
          </w:tcPr>
          <w:p>
            <w:pPr>
              <w:spacing w:before="0" w:after="40" w:line="240" w:lineRule="auto"/>
            </w:pPr>
            <w:r>
              <w:rPr>
                <w:rFonts w:ascii="Calibri" w:hAnsi="Calibri"/>
                <w:b w:val="0"/>
                <w:color w:val="1D2630"/>
                <w:sz w:val="19"/>
              </w:rPr>
              <w:t>Guillaume Péard</w:t>
            </w:r>
          </w:p>
        </w:tc>
        <w:tc>
          <w:tcPr>
            <w:tcW w:type="dxa" w:w="2160"/>
            <w:vAlign w:val="top"/>
            <w:tcMar>
              <w:top w:w="80" w:type="dxa"/>
              <w:bottom w:w="80" w:type="dxa"/>
              <w:start w:w="120" w:type="dxa"/>
              <w:end w:w="120" w:type="dxa"/>
            </w:tcMar>
          </w:tcPr>
          <w:p>
            <w:pPr>
              <w:spacing w:before="0" w:after="40" w:line="240" w:lineRule="auto"/>
            </w:pPr>
            <w:r>
              <w:rPr>
                <w:rFonts w:ascii="Calibri" w:hAnsi="Calibri"/>
                <w:b w:val="0"/>
                <w:color w:val="1D2630"/>
                <w:sz w:val="19"/>
              </w:rPr>
              <w:t>Vérifié via source publique</w:t>
            </w:r>
          </w:p>
        </w:tc>
      </w:tr>
      <w:tr>
        <w:trPr>
          <w:cantSplit/>
        </w:trPr>
        <w:tc>
          <w:tcPr>
            <w:tcW w:type="dxa" w:w="2232"/>
            <w:vAlign w:val="top"/>
            <w:tcMar>
              <w:top w:w="80" w:type="dxa"/>
              <w:bottom w:w="80" w:type="dxa"/>
              <w:start w:w="120" w:type="dxa"/>
              <w:end w:w="120" w:type="dxa"/>
            </w:tcMar>
          </w:tcPr>
          <w:p>
            <w:pPr>
              <w:spacing w:before="0" w:after="40" w:line="240" w:lineRule="auto"/>
            </w:pPr>
            <w:r>
              <w:rPr>
                <w:rFonts w:ascii="Calibri" w:hAnsi="Calibri"/>
                <w:b/>
                <w:color w:val="1D2630"/>
                <w:sz w:val="19"/>
              </w:rPr>
              <w:t>Direction financière France/Maghreb</w:t>
            </w:r>
          </w:p>
        </w:tc>
        <w:tc>
          <w:tcPr>
            <w:tcW w:type="dxa" w:w="4968"/>
            <w:vAlign w:val="top"/>
            <w:tcMar>
              <w:top w:w="80" w:type="dxa"/>
              <w:bottom w:w="80" w:type="dxa"/>
              <w:start w:w="120" w:type="dxa"/>
              <w:end w:w="120" w:type="dxa"/>
            </w:tcMar>
          </w:tcPr>
          <w:p>
            <w:pPr>
              <w:spacing w:before="0" w:after="40" w:line="240" w:lineRule="auto"/>
            </w:pPr>
            <w:r>
              <w:rPr>
                <w:rFonts w:ascii="Calibri" w:hAnsi="Calibri"/>
                <w:b w:val="0"/>
                <w:color w:val="1D2630"/>
                <w:sz w:val="19"/>
              </w:rPr>
              <w:t>Yevgen Derkach</w:t>
            </w:r>
          </w:p>
        </w:tc>
        <w:tc>
          <w:tcPr>
            <w:tcW w:type="dxa" w:w="2160"/>
            <w:vAlign w:val="top"/>
            <w:tcMar>
              <w:top w:w="80" w:type="dxa"/>
              <w:bottom w:w="80" w:type="dxa"/>
              <w:start w:w="120" w:type="dxa"/>
              <w:end w:w="120" w:type="dxa"/>
            </w:tcMar>
          </w:tcPr>
          <w:p>
            <w:pPr>
              <w:spacing w:before="0" w:after="40" w:line="240" w:lineRule="auto"/>
            </w:pPr>
            <w:r>
              <w:rPr>
                <w:rFonts w:ascii="Calibri" w:hAnsi="Calibri"/>
                <w:b w:val="0"/>
                <w:color w:val="1D2630"/>
                <w:sz w:val="19"/>
              </w:rPr>
              <w:t>Vérifié via source publique</w:t>
            </w:r>
          </w:p>
        </w:tc>
      </w:tr>
      <w:tr>
        <w:trPr>
          <w:cantSplit/>
        </w:trPr>
        <w:tc>
          <w:tcPr>
            <w:tcW w:type="dxa" w:w="2232"/>
            <w:vAlign w:val="top"/>
            <w:tcMar>
              <w:top w:w="80" w:type="dxa"/>
              <w:bottom w:w="80" w:type="dxa"/>
              <w:start w:w="120" w:type="dxa"/>
              <w:end w:w="120" w:type="dxa"/>
            </w:tcMar>
          </w:tcPr>
          <w:p>
            <w:pPr>
              <w:spacing w:before="0" w:after="40" w:line="240" w:lineRule="auto"/>
            </w:pPr>
            <w:r>
              <w:rPr>
                <w:rFonts w:ascii="Calibri" w:hAnsi="Calibri"/>
                <w:b/>
                <w:color w:val="1D2630"/>
                <w:sz w:val="19"/>
              </w:rPr>
              <w:t>Siège principal France</w:t>
            </w:r>
          </w:p>
        </w:tc>
        <w:tc>
          <w:tcPr>
            <w:tcW w:type="dxa" w:w="4968"/>
            <w:vAlign w:val="top"/>
            <w:tcMar>
              <w:top w:w="80" w:type="dxa"/>
              <w:bottom w:w="80" w:type="dxa"/>
              <w:start w:w="120" w:type="dxa"/>
              <w:end w:w="120" w:type="dxa"/>
            </w:tcMar>
          </w:tcPr>
          <w:p>
            <w:pPr>
              <w:spacing w:before="0" w:after="40" w:line="240" w:lineRule="auto"/>
            </w:pPr>
            <w:r>
              <w:rPr>
                <w:rFonts w:ascii="Calibri" w:hAnsi="Calibri"/>
                <w:b w:val="0"/>
                <w:color w:val="1D2630"/>
                <w:sz w:val="19"/>
              </w:rPr>
              <w:t>Parc d'activités du Nid à Grive, 77164 Ferrières-en-Brie</w:t>
            </w:r>
          </w:p>
        </w:tc>
        <w:tc>
          <w:tcPr>
            <w:tcW w:type="dxa" w:w="2160"/>
            <w:vAlign w:val="top"/>
            <w:tcMar>
              <w:top w:w="80" w:type="dxa"/>
              <w:bottom w:w="80" w:type="dxa"/>
              <w:start w:w="120" w:type="dxa"/>
              <w:end w:w="120" w:type="dxa"/>
            </w:tcMar>
          </w:tcPr>
          <w:p>
            <w:pPr>
              <w:spacing w:before="0" w:after="40" w:line="240" w:lineRule="auto"/>
            </w:pPr>
            <w:r>
              <w:rPr>
                <w:rFonts w:ascii="Calibri" w:hAnsi="Calibri"/>
                <w:b w:val="0"/>
                <w:color w:val="1D2630"/>
                <w:sz w:val="19"/>
              </w:rPr>
              <w:t>Vérifié</w:t>
            </w:r>
          </w:p>
        </w:tc>
      </w:tr>
      <w:tr>
        <w:trPr>
          <w:cantSplit/>
        </w:trPr>
        <w:tc>
          <w:tcPr>
            <w:tcW w:type="dxa" w:w="2232"/>
            <w:vAlign w:val="top"/>
            <w:tcMar>
              <w:top w:w="80" w:type="dxa"/>
              <w:bottom w:w="80" w:type="dxa"/>
              <w:start w:w="120" w:type="dxa"/>
              <w:end w:w="120" w:type="dxa"/>
            </w:tcMar>
          </w:tcPr>
          <w:p>
            <w:pPr>
              <w:spacing w:before="0" w:after="40" w:line="240" w:lineRule="auto"/>
            </w:pPr>
            <w:r>
              <w:rPr>
                <w:rFonts w:ascii="Calibri" w:hAnsi="Calibri"/>
                <w:b/>
                <w:color w:val="1D2630"/>
                <w:sz w:val="19"/>
              </w:rPr>
              <w:t>Centre Road</w:t>
            </w:r>
          </w:p>
        </w:tc>
        <w:tc>
          <w:tcPr>
            <w:tcW w:type="dxa" w:w="4968"/>
            <w:vAlign w:val="top"/>
            <w:tcMar>
              <w:top w:w="80" w:type="dxa"/>
              <w:bottom w:w="80" w:type="dxa"/>
              <w:start w:w="120" w:type="dxa"/>
              <w:end w:w="120" w:type="dxa"/>
            </w:tcMar>
          </w:tcPr>
          <w:p>
            <w:pPr>
              <w:spacing w:before="0" w:after="40" w:line="240" w:lineRule="auto"/>
            </w:pPr>
            <w:r>
              <w:rPr>
                <w:rFonts w:ascii="Calibri" w:hAnsi="Calibri"/>
                <w:b w:val="0"/>
                <w:color w:val="1D2630"/>
                <w:sz w:val="19"/>
              </w:rPr>
              <w:t>201 rue Léon Jouhaux, 69400 Villefranche-sur-Saône</w:t>
            </w:r>
          </w:p>
        </w:tc>
        <w:tc>
          <w:tcPr>
            <w:tcW w:type="dxa" w:w="2160"/>
            <w:vAlign w:val="top"/>
            <w:tcMar>
              <w:top w:w="80" w:type="dxa"/>
              <w:bottom w:w="80" w:type="dxa"/>
              <w:start w:w="120" w:type="dxa"/>
              <w:end w:w="120" w:type="dxa"/>
            </w:tcMar>
          </w:tcPr>
          <w:p>
            <w:pPr>
              <w:spacing w:before="0" w:after="40" w:line="240" w:lineRule="auto"/>
            </w:pPr>
            <w:r>
              <w:rPr>
                <w:rFonts w:ascii="Calibri" w:hAnsi="Calibri"/>
                <w:b w:val="0"/>
                <w:color w:val="1D2630"/>
                <w:sz w:val="19"/>
              </w:rPr>
              <w:t>Vérifié</w:t>
            </w:r>
          </w:p>
        </w:tc>
      </w:tr>
      <w:tr>
        <w:trPr>
          <w:cantSplit/>
        </w:trPr>
        <w:tc>
          <w:tcPr>
            <w:tcW w:type="dxa" w:w="2232"/>
            <w:vAlign w:val="top"/>
            <w:tcMar>
              <w:top w:w="80" w:type="dxa"/>
              <w:bottom w:w="80" w:type="dxa"/>
              <w:start w:w="120" w:type="dxa"/>
              <w:end w:w="120" w:type="dxa"/>
            </w:tcMar>
          </w:tcPr>
          <w:p>
            <w:pPr>
              <w:spacing w:before="0" w:after="40" w:line="240" w:lineRule="auto"/>
            </w:pPr>
            <w:r>
              <w:rPr>
                <w:rFonts w:ascii="Calibri" w:hAnsi="Calibri"/>
                <w:b/>
                <w:color w:val="1D2630"/>
                <w:sz w:val="19"/>
              </w:rPr>
              <w:t>Effectif France</w:t>
            </w:r>
          </w:p>
        </w:tc>
        <w:tc>
          <w:tcPr>
            <w:tcW w:type="dxa" w:w="4968"/>
            <w:vAlign w:val="top"/>
            <w:tcMar>
              <w:top w:w="80" w:type="dxa"/>
              <w:bottom w:w="80" w:type="dxa"/>
              <w:start w:w="120" w:type="dxa"/>
              <w:end w:w="120" w:type="dxa"/>
            </w:tcMar>
          </w:tcPr>
          <w:p>
            <w:pPr>
              <w:spacing w:before="0" w:after="40" w:line="240" w:lineRule="auto"/>
            </w:pPr>
            <w:r>
              <w:rPr>
                <w:rFonts w:ascii="Calibri" w:hAnsi="Calibri"/>
                <w:b w:val="0"/>
                <w:color w:val="1D2630"/>
                <w:sz w:val="19"/>
              </w:rPr>
              <w:t>Environ 8 500 permanents ; environ 10 000 avec l'intérim</w:t>
            </w:r>
          </w:p>
        </w:tc>
        <w:tc>
          <w:tcPr>
            <w:tcW w:type="dxa" w:w="2160"/>
            <w:vAlign w:val="top"/>
            <w:tcMar>
              <w:top w:w="80" w:type="dxa"/>
              <w:bottom w:w="80" w:type="dxa"/>
              <w:start w:w="120" w:type="dxa"/>
              <w:end w:w="120" w:type="dxa"/>
            </w:tcMar>
          </w:tcPr>
          <w:p>
            <w:pPr>
              <w:spacing w:before="0" w:after="40" w:line="240" w:lineRule="auto"/>
            </w:pPr>
            <w:r>
              <w:rPr>
                <w:rFonts w:ascii="Calibri" w:hAnsi="Calibri"/>
                <w:b w:val="0"/>
                <w:color w:val="1D2630"/>
                <w:sz w:val="19"/>
              </w:rPr>
              <w:t>Déclaration 2024 du Président France</w:t>
            </w:r>
          </w:p>
        </w:tc>
      </w:tr>
      <w:tr>
        <w:trPr>
          <w:cantSplit/>
        </w:trPr>
        <w:tc>
          <w:tcPr>
            <w:tcW w:type="dxa" w:w="2232"/>
            <w:vAlign w:val="top"/>
            <w:tcMar>
              <w:top w:w="80" w:type="dxa"/>
              <w:bottom w:w="80" w:type="dxa"/>
              <w:start w:w="120" w:type="dxa"/>
              <w:end w:w="120" w:type="dxa"/>
            </w:tcMar>
          </w:tcPr>
          <w:p>
            <w:pPr>
              <w:spacing w:before="0" w:after="40" w:line="240" w:lineRule="auto"/>
            </w:pPr>
            <w:r>
              <w:rPr>
                <w:rFonts w:ascii="Calibri" w:hAnsi="Calibri"/>
                <w:b/>
                <w:color w:val="1D2630"/>
                <w:sz w:val="19"/>
              </w:rPr>
              <w:t>Implantations France</w:t>
            </w:r>
          </w:p>
        </w:tc>
        <w:tc>
          <w:tcPr>
            <w:tcW w:type="dxa" w:w="4968"/>
            <w:vAlign w:val="top"/>
            <w:tcMar>
              <w:top w:w="80" w:type="dxa"/>
              <w:bottom w:w="80" w:type="dxa"/>
              <w:start w:w="120" w:type="dxa"/>
              <w:end w:w="120" w:type="dxa"/>
            </w:tcMar>
          </w:tcPr>
          <w:p>
            <w:pPr>
              <w:spacing w:before="0" w:after="40" w:line="240" w:lineRule="auto"/>
            </w:pPr>
            <w:r>
              <w:rPr>
                <w:rFonts w:ascii="Calibri" w:hAnsi="Calibri"/>
                <w:b w:val="0"/>
                <w:color w:val="1D2630"/>
                <w:sz w:val="19"/>
              </w:rPr>
              <w:t>Environ 125 sites, dont près de 45 sites Contract Logistics et 56 agences Road</w:t>
            </w:r>
          </w:p>
        </w:tc>
        <w:tc>
          <w:tcPr>
            <w:tcW w:type="dxa" w:w="2160"/>
            <w:vAlign w:val="top"/>
            <w:tcMar>
              <w:top w:w="80" w:type="dxa"/>
              <w:bottom w:w="80" w:type="dxa"/>
              <w:start w:w="120" w:type="dxa"/>
              <w:end w:w="120" w:type="dxa"/>
            </w:tcMar>
          </w:tcPr>
          <w:p>
            <w:pPr>
              <w:spacing w:before="0" w:after="40" w:line="240" w:lineRule="auto"/>
            </w:pPr>
            <w:r>
              <w:rPr>
                <w:rFonts w:ascii="Calibri" w:hAnsi="Calibri"/>
                <w:b w:val="0"/>
                <w:color w:val="1D2630"/>
                <w:sz w:val="19"/>
              </w:rPr>
              <w:t>Déclaration 2024</w:t>
            </w:r>
          </w:p>
        </w:tc>
      </w:tr>
      <w:tr>
        <w:trPr>
          <w:cantSplit/>
        </w:trPr>
        <w:tc>
          <w:tcPr>
            <w:tcW w:type="dxa" w:w="2232"/>
            <w:vAlign w:val="top"/>
            <w:tcMar>
              <w:top w:w="80" w:type="dxa"/>
              <w:bottom w:w="80" w:type="dxa"/>
              <w:start w:w="120" w:type="dxa"/>
              <w:end w:w="120" w:type="dxa"/>
            </w:tcMar>
          </w:tcPr>
          <w:p>
            <w:pPr>
              <w:spacing w:before="0" w:after="40" w:line="240" w:lineRule="auto"/>
            </w:pPr>
            <w:r>
              <w:rPr>
                <w:rFonts w:ascii="Calibri" w:hAnsi="Calibri"/>
                <w:b/>
                <w:color w:val="1D2630"/>
                <w:sz w:val="19"/>
              </w:rPr>
              <w:t>CA 2025 de la principale SAS</w:t>
            </w:r>
          </w:p>
        </w:tc>
        <w:tc>
          <w:tcPr>
            <w:tcW w:type="dxa" w:w="4968"/>
            <w:vAlign w:val="top"/>
            <w:tcMar>
              <w:top w:w="80" w:type="dxa"/>
              <w:bottom w:w="80" w:type="dxa"/>
              <w:start w:w="120" w:type="dxa"/>
              <w:end w:w="120" w:type="dxa"/>
            </w:tcMar>
          </w:tcPr>
          <w:p>
            <w:pPr>
              <w:spacing w:before="0" w:after="40" w:line="240" w:lineRule="auto"/>
            </w:pPr>
            <w:r>
              <w:rPr>
                <w:rFonts w:ascii="Calibri" w:hAnsi="Calibri"/>
                <w:b w:val="0"/>
                <w:color w:val="1D2630"/>
                <w:sz w:val="19"/>
              </w:rPr>
              <w:t>752 M€</w:t>
            </w:r>
          </w:p>
        </w:tc>
        <w:tc>
          <w:tcPr>
            <w:tcW w:type="dxa" w:w="2160"/>
            <w:vAlign w:val="top"/>
            <w:tcMar>
              <w:top w:w="80" w:type="dxa"/>
              <w:bottom w:w="80" w:type="dxa"/>
              <w:start w:w="120" w:type="dxa"/>
              <w:end w:w="120" w:type="dxa"/>
            </w:tcMar>
          </w:tcPr>
          <w:p>
            <w:pPr>
              <w:spacing w:before="0" w:after="40" w:line="240" w:lineRule="auto"/>
            </w:pPr>
            <w:r>
              <w:rPr>
                <w:rFonts w:ascii="Calibri" w:hAnsi="Calibri"/>
                <w:b w:val="0"/>
                <w:color w:val="1D2630"/>
                <w:sz w:val="19"/>
              </w:rPr>
              <w:t>Pappers - ne pas assimiler au consolidé France</w:t>
            </w:r>
          </w:p>
        </w:tc>
      </w:tr>
      <w:tr>
        <w:trPr>
          <w:cantSplit/>
        </w:trPr>
        <w:tc>
          <w:tcPr>
            <w:tcW w:type="dxa" w:w="2232"/>
            <w:vAlign w:val="top"/>
            <w:tcMar>
              <w:top w:w="80" w:type="dxa"/>
              <w:bottom w:w="80" w:type="dxa"/>
              <w:start w:w="120" w:type="dxa"/>
              <w:end w:w="120" w:type="dxa"/>
            </w:tcMar>
          </w:tcPr>
          <w:p>
            <w:pPr>
              <w:spacing w:before="0" w:after="40" w:line="240" w:lineRule="auto"/>
            </w:pPr>
            <w:r>
              <w:rPr>
                <w:rFonts w:ascii="Calibri" w:hAnsi="Calibri"/>
                <w:b/>
                <w:color w:val="1D2630"/>
                <w:sz w:val="19"/>
              </w:rPr>
              <w:t>Résultat net 2025 de la principale SAS</w:t>
            </w:r>
          </w:p>
        </w:tc>
        <w:tc>
          <w:tcPr>
            <w:tcW w:type="dxa" w:w="4968"/>
            <w:vAlign w:val="top"/>
            <w:tcMar>
              <w:top w:w="80" w:type="dxa"/>
              <w:bottom w:w="80" w:type="dxa"/>
              <w:start w:w="120" w:type="dxa"/>
              <w:end w:w="120" w:type="dxa"/>
            </w:tcMar>
          </w:tcPr>
          <w:p>
            <w:pPr>
              <w:spacing w:before="0" w:after="40" w:line="240" w:lineRule="auto"/>
            </w:pPr>
            <w:r>
              <w:rPr>
                <w:rFonts w:ascii="Calibri" w:hAnsi="Calibri"/>
                <w:b w:val="0"/>
                <w:color w:val="1D2630"/>
                <w:sz w:val="19"/>
              </w:rPr>
              <w:t>-7,29 M€</w:t>
            </w:r>
          </w:p>
        </w:tc>
        <w:tc>
          <w:tcPr>
            <w:tcW w:type="dxa" w:w="2160"/>
            <w:vAlign w:val="top"/>
            <w:tcMar>
              <w:top w:w="80" w:type="dxa"/>
              <w:bottom w:w="80" w:type="dxa"/>
              <w:start w:w="120" w:type="dxa"/>
              <w:end w:w="120" w:type="dxa"/>
            </w:tcMar>
          </w:tcPr>
          <w:p>
            <w:pPr>
              <w:spacing w:before="0" w:after="40" w:line="240" w:lineRule="auto"/>
            </w:pPr>
            <w:r>
              <w:rPr>
                <w:rFonts w:ascii="Calibri" w:hAnsi="Calibri"/>
                <w:b w:val="0"/>
                <w:color w:val="1D2630"/>
                <w:sz w:val="19"/>
              </w:rPr>
              <w:t>Pappers - pression probable sur les coûts</w:t>
            </w:r>
          </w:p>
        </w:tc>
      </w:tr>
    </w:tbl>
    <w:p>
      <w:pPr>
        <w:spacing w:after="0"/>
      </w:pPr>
    </w:p>
    <w:p>
      <w:pPr>
        <w:pStyle w:val="Heading2"/>
      </w:pPr>
      <w:r>
        <w:t>2.1 Implantations prioritaires pour la chasse</w:t>
      </w:r>
    </w:p>
    <w:tbl>
      <w:tblPr>
        <w:tblStyle w:val="TableGrid"/>
        <w:tblW w:type="dxa" w:w="9360"/>
        <w:jc w:val="left"/>
        <w:tblLayout w:type="fixed"/>
        <w:tblLook w:firstColumn="1" w:firstRow="1" w:lastColumn="0" w:lastRow="0" w:noHBand="0" w:noVBand="1" w:val="04A0"/>
        <w:tblInd w:type="dxa" w:w="120"/>
      </w:tblPr>
      <w:tblGrid>
        <w:gridCol w:w="2232"/>
        <w:gridCol w:w="3168"/>
        <w:gridCol w:w="3960"/>
      </w:tblGrid>
      <w:tr>
        <w:trPr>
          <w:tblHeader w:val="true"/>
          <w:cantSplit/>
        </w:trPr>
        <w:tc>
          <w:tcPr>
            <w:tcW w:type="dxa" w:w="2232"/>
            <w:shd w:fill="F2F4F7"/>
            <w:vAlign w:val="center"/>
            <w:tcMar>
              <w:top w:w="80" w:type="dxa"/>
              <w:bottom w:w="80" w:type="dxa"/>
              <w:start w:w="120" w:type="dxa"/>
              <w:end w:w="120" w:type="dxa"/>
            </w:tcMar>
          </w:tcPr>
          <w:p>
            <w:pPr>
              <w:spacing w:before="20" w:after="20"/>
            </w:pPr>
            <w:r>
              <w:rPr>
                <w:rFonts w:ascii="Calibri" w:hAnsi="Calibri"/>
                <w:b/>
                <w:color w:val="0B2545"/>
                <w:sz w:val="19"/>
              </w:rPr>
              <w:t>Zone</w:t>
            </w:r>
          </w:p>
        </w:tc>
        <w:tc>
          <w:tcPr>
            <w:tcW w:type="dxa" w:w="3168"/>
            <w:shd w:fill="F2F4F7"/>
            <w:vAlign w:val="center"/>
            <w:tcMar>
              <w:top w:w="80" w:type="dxa"/>
              <w:bottom w:w="80" w:type="dxa"/>
              <w:start w:w="120" w:type="dxa"/>
              <w:end w:w="120" w:type="dxa"/>
            </w:tcMar>
          </w:tcPr>
          <w:p>
            <w:pPr>
              <w:spacing w:before="20" w:after="20"/>
            </w:pPr>
            <w:r>
              <w:rPr>
                <w:rFonts w:ascii="Calibri" w:hAnsi="Calibri"/>
                <w:b/>
                <w:color w:val="0B2545"/>
                <w:sz w:val="19"/>
              </w:rPr>
              <w:t>Rôle probable</w:t>
            </w:r>
          </w:p>
        </w:tc>
        <w:tc>
          <w:tcPr>
            <w:tcW w:type="dxa" w:w="3960"/>
            <w:shd w:fill="F2F4F7"/>
            <w:vAlign w:val="center"/>
            <w:tcMar>
              <w:top w:w="80" w:type="dxa"/>
              <w:bottom w:w="80" w:type="dxa"/>
              <w:start w:w="120" w:type="dxa"/>
              <w:end w:w="120" w:type="dxa"/>
            </w:tcMar>
          </w:tcPr>
          <w:p>
            <w:pPr>
              <w:spacing w:before="20" w:after="20"/>
            </w:pPr>
            <w:r>
              <w:rPr>
                <w:rFonts w:ascii="Calibri" w:hAnsi="Calibri"/>
                <w:b/>
                <w:color w:val="0B2545"/>
                <w:sz w:val="19"/>
              </w:rPr>
              <w:t>Intérêt commercial Tilencia</w:t>
            </w:r>
          </w:p>
        </w:tc>
      </w:tr>
      <w:tr>
        <w:trPr>
          <w:cantSplit/>
        </w:trPr>
        <w:tc>
          <w:tcPr>
            <w:tcW w:type="dxa" w:w="2232"/>
            <w:vAlign w:val="top"/>
            <w:tcMar>
              <w:top w:w="80" w:type="dxa"/>
              <w:bottom w:w="80" w:type="dxa"/>
              <w:start w:w="120" w:type="dxa"/>
              <w:end w:w="120" w:type="dxa"/>
            </w:tcMar>
          </w:tcPr>
          <w:p>
            <w:pPr>
              <w:spacing w:before="0" w:after="40" w:line="240" w:lineRule="auto"/>
            </w:pPr>
            <w:r>
              <w:rPr>
                <w:rFonts w:ascii="Calibri" w:hAnsi="Calibri"/>
                <w:b/>
                <w:color w:val="1D2630"/>
                <w:sz w:val="19"/>
              </w:rPr>
              <w:t>Ferrières-en-Brie / Est parisien</w:t>
            </w:r>
          </w:p>
        </w:tc>
        <w:tc>
          <w:tcPr>
            <w:tcW w:type="dxa" w:w="3168"/>
            <w:vAlign w:val="top"/>
            <w:tcMar>
              <w:top w:w="80" w:type="dxa"/>
              <w:bottom w:w="80" w:type="dxa"/>
              <w:start w:w="120" w:type="dxa"/>
              <w:end w:w="120" w:type="dxa"/>
            </w:tcMar>
          </w:tcPr>
          <w:p>
            <w:pPr>
              <w:spacing w:before="0" w:after="40" w:line="240" w:lineRule="auto"/>
            </w:pPr>
            <w:r>
              <w:rPr>
                <w:rFonts w:ascii="Calibri" w:hAnsi="Calibri"/>
                <w:b w:val="0"/>
                <w:color w:val="1D2630"/>
                <w:sz w:val="19"/>
              </w:rPr>
              <w:t>Siège France, fonctions support, IT et achats</w:t>
            </w:r>
          </w:p>
        </w:tc>
        <w:tc>
          <w:tcPr>
            <w:tcW w:type="dxa" w:w="3960"/>
            <w:vAlign w:val="top"/>
            <w:tcMar>
              <w:top w:w="80" w:type="dxa"/>
              <w:bottom w:w="80" w:type="dxa"/>
              <w:start w:w="120" w:type="dxa"/>
              <w:end w:w="120" w:type="dxa"/>
            </w:tcMar>
          </w:tcPr>
          <w:p>
            <w:pPr>
              <w:spacing w:before="0" w:after="40" w:line="240" w:lineRule="auto"/>
            </w:pPr>
            <w:r>
              <w:rPr>
                <w:rFonts w:ascii="Calibri" w:hAnsi="Calibri"/>
                <w:b w:val="0"/>
                <w:color w:val="1D2630"/>
                <w:sz w:val="19"/>
              </w:rPr>
              <w:t>Priorité n°1 pour gouvernance, achats, data, cloud et cyber.</w:t>
            </w:r>
          </w:p>
        </w:tc>
      </w:tr>
      <w:tr>
        <w:trPr>
          <w:cantSplit/>
        </w:trPr>
        <w:tc>
          <w:tcPr>
            <w:tcW w:type="dxa" w:w="2232"/>
            <w:vAlign w:val="top"/>
            <w:tcMar>
              <w:top w:w="80" w:type="dxa"/>
              <w:bottom w:w="80" w:type="dxa"/>
              <w:start w:w="120" w:type="dxa"/>
              <w:end w:w="120" w:type="dxa"/>
            </w:tcMar>
          </w:tcPr>
          <w:p>
            <w:pPr>
              <w:spacing w:before="0" w:after="40" w:line="240" w:lineRule="auto"/>
            </w:pPr>
            <w:r>
              <w:rPr>
                <w:rFonts w:ascii="Calibri" w:hAnsi="Calibri"/>
                <w:b/>
                <w:color w:val="1D2630"/>
                <w:sz w:val="19"/>
              </w:rPr>
              <w:t>Lyon / Villefranche-sur-Saône</w:t>
            </w:r>
          </w:p>
        </w:tc>
        <w:tc>
          <w:tcPr>
            <w:tcW w:type="dxa" w:w="3168"/>
            <w:vAlign w:val="top"/>
            <w:tcMar>
              <w:top w:w="80" w:type="dxa"/>
              <w:bottom w:w="80" w:type="dxa"/>
              <w:start w:w="120" w:type="dxa"/>
              <w:end w:w="120" w:type="dxa"/>
            </w:tcMar>
          </w:tcPr>
          <w:p>
            <w:pPr>
              <w:spacing w:before="0" w:after="40" w:line="240" w:lineRule="auto"/>
            </w:pPr>
            <w:r>
              <w:rPr>
                <w:rFonts w:ascii="Calibri" w:hAnsi="Calibri"/>
                <w:b w:val="0"/>
                <w:color w:val="1D2630"/>
                <w:sz w:val="19"/>
              </w:rPr>
              <w:t>Road Logistics, IT et réengineering</w:t>
            </w:r>
          </w:p>
        </w:tc>
        <w:tc>
          <w:tcPr>
            <w:tcW w:type="dxa" w:w="3960"/>
            <w:vAlign w:val="top"/>
            <w:tcMar>
              <w:top w:w="80" w:type="dxa"/>
              <w:bottom w:w="80" w:type="dxa"/>
              <w:start w:w="120" w:type="dxa"/>
              <w:end w:w="120" w:type="dxa"/>
            </w:tcMar>
          </w:tcPr>
          <w:p>
            <w:pPr>
              <w:spacing w:before="0" w:after="40" w:line="240" w:lineRule="auto"/>
            </w:pPr>
            <w:r>
              <w:rPr>
                <w:rFonts w:ascii="Calibri" w:hAnsi="Calibri"/>
                <w:b w:val="0"/>
                <w:color w:val="1D2630"/>
                <w:sz w:val="19"/>
              </w:rPr>
              <w:t>Priorité n°1 pour WMS/TMS, EDI, performance et déploiements.</w:t>
            </w:r>
          </w:p>
        </w:tc>
      </w:tr>
      <w:tr>
        <w:trPr>
          <w:cantSplit/>
        </w:trPr>
        <w:tc>
          <w:tcPr>
            <w:tcW w:type="dxa" w:w="2232"/>
            <w:vAlign w:val="top"/>
            <w:tcMar>
              <w:top w:w="80" w:type="dxa"/>
              <w:bottom w:w="80" w:type="dxa"/>
              <w:start w:w="120" w:type="dxa"/>
              <w:end w:w="120" w:type="dxa"/>
            </w:tcMar>
          </w:tcPr>
          <w:p>
            <w:pPr>
              <w:spacing w:before="0" w:after="40" w:line="240" w:lineRule="auto"/>
            </w:pPr>
            <w:r>
              <w:rPr>
                <w:rFonts w:ascii="Calibri" w:hAnsi="Calibri"/>
                <w:b/>
                <w:color w:val="1D2630"/>
                <w:sz w:val="19"/>
              </w:rPr>
              <w:t>Saint-Quentin-Fallavier</w:t>
            </w:r>
          </w:p>
        </w:tc>
        <w:tc>
          <w:tcPr>
            <w:tcW w:type="dxa" w:w="3168"/>
            <w:vAlign w:val="top"/>
            <w:tcMar>
              <w:top w:w="80" w:type="dxa"/>
              <w:bottom w:w="80" w:type="dxa"/>
              <w:start w:w="120" w:type="dxa"/>
              <w:end w:w="120" w:type="dxa"/>
            </w:tcMar>
          </w:tcPr>
          <w:p>
            <w:pPr>
              <w:spacing w:before="0" w:after="40" w:line="240" w:lineRule="auto"/>
            </w:pPr>
            <w:r>
              <w:rPr>
                <w:rFonts w:ascii="Calibri" w:hAnsi="Calibri"/>
                <w:b w:val="0"/>
                <w:color w:val="1D2630"/>
                <w:sz w:val="19"/>
              </w:rPr>
              <w:t>Plateformes logistiques majeures</w:t>
            </w:r>
          </w:p>
        </w:tc>
        <w:tc>
          <w:tcPr>
            <w:tcW w:type="dxa" w:w="3960"/>
            <w:vAlign w:val="top"/>
            <w:tcMar>
              <w:top w:w="80" w:type="dxa"/>
              <w:bottom w:w="80" w:type="dxa"/>
              <w:start w:w="120" w:type="dxa"/>
              <w:end w:w="120" w:type="dxa"/>
            </w:tcMar>
          </w:tcPr>
          <w:p>
            <w:pPr>
              <w:spacing w:before="0" w:after="40" w:line="240" w:lineRule="auto"/>
            </w:pPr>
            <w:r>
              <w:rPr>
                <w:rFonts w:ascii="Calibri" w:hAnsi="Calibri"/>
                <w:b w:val="0"/>
                <w:color w:val="1D2630"/>
                <w:sz w:val="19"/>
              </w:rPr>
              <w:t>Profils WMS, automatisation, support site et conduite du changement.</w:t>
            </w:r>
          </w:p>
        </w:tc>
      </w:tr>
      <w:tr>
        <w:trPr>
          <w:cantSplit/>
        </w:trPr>
        <w:tc>
          <w:tcPr>
            <w:tcW w:type="dxa" w:w="2232"/>
            <w:vAlign w:val="top"/>
            <w:tcMar>
              <w:top w:w="80" w:type="dxa"/>
              <w:bottom w:w="80" w:type="dxa"/>
              <w:start w:w="120" w:type="dxa"/>
              <w:end w:w="120" w:type="dxa"/>
            </w:tcMar>
          </w:tcPr>
          <w:p>
            <w:pPr>
              <w:spacing w:before="0" w:after="40" w:line="240" w:lineRule="auto"/>
            </w:pPr>
            <w:r>
              <w:rPr>
                <w:rFonts w:ascii="Calibri" w:hAnsi="Calibri"/>
                <w:b/>
                <w:color w:val="1D2630"/>
                <w:sz w:val="19"/>
              </w:rPr>
              <w:t>Lille / Lesquin</w:t>
            </w:r>
          </w:p>
        </w:tc>
        <w:tc>
          <w:tcPr>
            <w:tcW w:type="dxa" w:w="3168"/>
            <w:vAlign w:val="top"/>
            <w:tcMar>
              <w:top w:w="80" w:type="dxa"/>
              <w:bottom w:w="80" w:type="dxa"/>
              <w:start w:w="120" w:type="dxa"/>
              <w:end w:w="120" w:type="dxa"/>
            </w:tcMar>
          </w:tcPr>
          <w:p>
            <w:pPr>
              <w:spacing w:before="0" w:after="40" w:line="240" w:lineRule="auto"/>
            </w:pPr>
            <w:r>
              <w:rPr>
                <w:rFonts w:ascii="Calibri" w:hAnsi="Calibri"/>
                <w:b w:val="0"/>
                <w:color w:val="1D2630"/>
                <w:sz w:val="19"/>
              </w:rPr>
              <w:t>Agences et logistique Nord</w:t>
            </w:r>
          </w:p>
        </w:tc>
        <w:tc>
          <w:tcPr>
            <w:tcW w:type="dxa" w:w="3960"/>
            <w:vAlign w:val="top"/>
            <w:tcMar>
              <w:top w:w="80" w:type="dxa"/>
              <w:bottom w:w="80" w:type="dxa"/>
              <w:start w:w="120" w:type="dxa"/>
              <w:end w:w="120" w:type="dxa"/>
            </w:tcMar>
          </w:tcPr>
          <w:p>
            <w:pPr>
              <w:spacing w:before="0" w:after="40" w:line="240" w:lineRule="auto"/>
            </w:pPr>
            <w:r>
              <w:rPr>
                <w:rFonts w:ascii="Calibri" w:hAnsi="Calibri"/>
                <w:b w:val="0"/>
                <w:color w:val="1D2630"/>
                <w:sz w:val="19"/>
              </w:rPr>
              <w:t>Déploiements multisites et support opérationnel.</w:t>
            </w:r>
          </w:p>
        </w:tc>
      </w:tr>
      <w:tr>
        <w:trPr>
          <w:cantSplit/>
        </w:trPr>
        <w:tc>
          <w:tcPr>
            <w:tcW w:type="dxa" w:w="2232"/>
            <w:vAlign w:val="top"/>
            <w:tcMar>
              <w:top w:w="80" w:type="dxa"/>
              <w:bottom w:w="80" w:type="dxa"/>
              <w:start w:w="120" w:type="dxa"/>
              <w:end w:w="120" w:type="dxa"/>
            </w:tcMar>
          </w:tcPr>
          <w:p>
            <w:pPr>
              <w:spacing w:before="0" w:after="40" w:line="240" w:lineRule="auto"/>
            </w:pPr>
            <w:r>
              <w:rPr>
                <w:rFonts w:ascii="Calibri" w:hAnsi="Calibri"/>
                <w:b/>
                <w:color w:val="1D2630"/>
                <w:sz w:val="19"/>
              </w:rPr>
              <w:t>Toulouse / Blagnac</w:t>
            </w:r>
          </w:p>
        </w:tc>
        <w:tc>
          <w:tcPr>
            <w:tcW w:type="dxa" w:w="3168"/>
            <w:vAlign w:val="top"/>
            <w:tcMar>
              <w:top w:w="80" w:type="dxa"/>
              <w:bottom w:w="80" w:type="dxa"/>
              <w:start w:w="120" w:type="dxa"/>
              <w:end w:w="120" w:type="dxa"/>
            </w:tcMar>
          </w:tcPr>
          <w:p>
            <w:pPr>
              <w:spacing w:before="0" w:after="40" w:line="240" w:lineRule="auto"/>
            </w:pPr>
            <w:r>
              <w:rPr>
                <w:rFonts w:ascii="Calibri" w:hAnsi="Calibri"/>
                <w:b w:val="0"/>
                <w:color w:val="1D2630"/>
                <w:sz w:val="19"/>
              </w:rPr>
              <w:t>Nouvelle agence et verticales industrie/aéronautique</w:t>
            </w:r>
          </w:p>
        </w:tc>
        <w:tc>
          <w:tcPr>
            <w:tcW w:type="dxa" w:w="3960"/>
            <w:vAlign w:val="top"/>
            <w:tcMar>
              <w:top w:w="80" w:type="dxa"/>
              <w:bottom w:w="80" w:type="dxa"/>
              <w:start w:w="120" w:type="dxa"/>
              <w:end w:w="120" w:type="dxa"/>
            </w:tcMar>
          </w:tcPr>
          <w:p>
            <w:pPr>
              <w:spacing w:before="0" w:after="40" w:line="240" w:lineRule="auto"/>
            </w:pPr>
            <w:r>
              <w:rPr>
                <w:rFonts w:ascii="Calibri" w:hAnsi="Calibri"/>
                <w:b w:val="0"/>
                <w:color w:val="1D2630"/>
                <w:sz w:val="19"/>
              </w:rPr>
              <w:t>WMS, EDI, data et intégration client.</w:t>
            </w:r>
          </w:p>
        </w:tc>
      </w:tr>
      <w:tr>
        <w:trPr>
          <w:cantSplit/>
        </w:trPr>
        <w:tc>
          <w:tcPr>
            <w:tcW w:type="dxa" w:w="2232"/>
            <w:vAlign w:val="top"/>
            <w:tcMar>
              <w:top w:w="80" w:type="dxa"/>
              <w:bottom w:w="80" w:type="dxa"/>
              <w:start w:w="120" w:type="dxa"/>
              <w:end w:w="120" w:type="dxa"/>
            </w:tcMar>
          </w:tcPr>
          <w:p>
            <w:pPr>
              <w:spacing w:before="0" w:after="40" w:line="240" w:lineRule="auto"/>
            </w:pPr>
            <w:r>
              <w:rPr>
                <w:rFonts w:ascii="Calibri" w:hAnsi="Calibri"/>
                <w:b/>
                <w:color w:val="1D2630"/>
                <w:sz w:val="19"/>
              </w:rPr>
              <w:t>Roissy / Villepinte / Orly</w:t>
            </w:r>
          </w:p>
        </w:tc>
        <w:tc>
          <w:tcPr>
            <w:tcW w:type="dxa" w:w="3168"/>
            <w:vAlign w:val="top"/>
            <w:tcMar>
              <w:top w:w="80" w:type="dxa"/>
              <w:bottom w:w="80" w:type="dxa"/>
              <w:start w:w="120" w:type="dxa"/>
              <w:end w:w="120" w:type="dxa"/>
            </w:tcMar>
          </w:tcPr>
          <w:p>
            <w:pPr>
              <w:spacing w:before="0" w:after="40" w:line="240" w:lineRule="auto"/>
            </w:pPr>
            <w:r>
              <w:rPr>
                <w:rFonts w:ascii="Calibri" w:hAnsi="Calibri"/>
                <w:b w:val="0"/>
                <w:color w:val="1D2630"/>
                <w:sz w:val="19"/>
              </w:rPr>
              <w:t>Air Logistics, healthcare et luxe</w:t>
            </w:r>
          </w:p>
        </w:tc>
        <w:tc>
          <w:tcPr>
            <w:tcW w:type="dxa" w:w="3960"/>
            <w:vAlign w:val="top"/>
            <w:tcMar>
              <w:top w:w="80" w:type="dxa"/>
              <w:bottom w:w="80" w:type="dxa"/>
              <w:start w:w="120" w:type="dxa"/>
              <w:end w:w="120" w:type="dxa"/>
            </w:tcMar>
          </w:tcPr>
          <w:p>
            <w:pPr>
              <w:spacing w:before="0" w:after="40" w:line="240" w:lineRule="auto"/>
            </w:pPr>
            <w:r>
              <w:rPr>
                <w:rFonts w:ascii="Calibri" w:hAnsi="Calibri"/>
                <w:b w:val="0"/>
                <w:color w:val="1D2630"/>
                <w:sz w:val="19"/>
              </w:rPr>
              <w:t>Data, qualité, traçabilité, cybersécurité et interfaces.</w:t>
            </w:r>
          </w:p>
        </w:tc>
      </w:tr>
    </w:tbl>
    <w:p>
      <w:pPr>
        <w:spacing w:after="0"/>
      </w:pPr>
    </w:p>
    <w:p>
      <w:pPr>
        <w:pStyle w:val="Heading1"/>
      </w:pPr>
      <w:r>
        <w:t>3. Enjeux stratégiques et signaux de transformation</w:t>
      </w:r>
    </w:p>
    <w:p>
      <w:pPr>
        <w:pStyle w:val="Heading2"/>
      </w:pPr>
      <w:r>
        <w:t>3.1 Déploiement mondial de KN SwiftLOG / Blue Yonder</w:t>
      </w:r>
    </w:p>
    <w:p>
      <w:r>
        <w:rPr>
          <w:rFonts w:ascii="Calibri" w:hAnsi="Calibri"/>
          <w:color w:val="1D2630"/>
        </w:rPr>
        <w:t>Le signal le plus important est la transformation de KN SwiftLOG, le WMS de Kuehne+Nagel, en plateforme cloud native dotée de capacités d'IA agentique et fondée sur la technologie Blue Yonder. Le déploiement mondial a commencé en avril 2026 et doit couvrir plus de 1 000 sites dans près de 100 pays.</w:t>
      </w:r>
    </w:p>
    <w:p>
      <w:pPr>
        <w:pStyle w:val="ListBullet"/>
      </w:pPr>
      <w:r>
        <w:rPr>
          <w:rFonts w:ascii="Calibri" w:hAnsi="Calibri"/>
          <w:color w:val="1D2630"/>
        </w:rPr>
        <w:t>Standardisation des processus et des données sur les entrepôts.</w:t>
      </w:r>
    </w:p>
    <w:p>
      <w:pPr>
        <w:pStyle w:val="ListBullet"/>
      </w:pPr>
      <w:r>
        <w:rPr>
          <w:rFonts w:ascii="Calibri" w:hAnsi="Calibri"/>
          <w:color w:val="1D2630"/>
        </w:rPr>
        <w:t>Déploiements par vagues avec impératif de continuité de service.</w:t>
      </w:r>
    </w:p>
    <w:p>
      <w:pPr>
        <w:pStyle w:val="ListBullet"/>
      </w:pPr>
      <w:r>
        <w:rPr>
          <w:rFonts w:ascii="Calibri" w:hAnsi="Calibri"/>
          <w:color w:val="1D2630"/>
        </w:rPr>
        <w:t>Multiplication probable des besoins de tests, migration, interfaces, cutover et hypercare.</w:t>
      </w:r>
    </w:p>
    <w:p>
      <w:pPr>
        <w:pStyle w:val="ListBullet"/>
      </w:pPr>
      <w:r>
        <w:rPr>
          <w:rFonts w:ascii="Calibri" w:hAnsi="Calibri"/>
          <w:color w:val="1D2630"/>
        </w:rPr>
        <w:t>Besoin d'accompagnement local pour adapter la plateforme aux clients et opérations françaises.</w:t>
      </w:r>
    </w:p>
    <w:p>
      <w:pPr>
        <w:pStyle w:val="Heading2"/>
      </w:pPr>
      <w:r>
        <w:t>3.2 Digital Ecosystem, cloud et IA</w:t>
      </w:r>
    </w:p>
    <w:p>
      <w:r>
        <w:rPr>
          <w:rFonts w:ascii="Calibri" w:hAnsi="Calibri"/>
          <w:color w:val="1D2630"/>
        </w:rPr>
        <w:t>La stratégie Roadmap 2026 repose notamment sur un Digital Ecosystem intégrant l'amélioration de la qualité des données, des investissements dans les outils numériques, le cloud et l'intelligence artificielle. Le groupe indique avoir construit un socle cloud moderne et une plateforme IA pour accélérer l'innovation.</w:t>
      </w:r>
    </w:p>
    <w:p>
      <w:pPr>
        <w:pStyle w:val="ListBullet"/>
      </w:pPr>
      <w:r>
        <w:rPr>
          <w:rFonts w:ascii="Calibri" w:hAnsi="Calibri"/>
          <w:color w:val="1D2630"/>
        </w:rPr>
        <w:t>Gouvernance et qualité des données opérationnelles.</w:t>
      </w:r>
    </w:p>
    <w:p>
      <w:pPr>
        <w:pStyle w:val="ListBullet"/>
      </w:pPr>
      <w:r>
        <w:rPr>
          <w:rFonts w:ascii="Calibri" w:hAnsi="Calibri"/>
          <w:color w:val="1D2630"/>
        </w:rPr>
        <w:t>Industrialisation des cas d'usage IA et adoption par les équipes.</w:t>
      </w:r>
    </w:p>
    <w:p>
      <w:pPr>
        <w:pStyle w:val="ListBullet"/>
      </w:pPr>
      <w:r>
        <w:rPr>
          <w:rFonts w:ascii="Calibri" w:hAnsi="Calibri"/>
          <w:color w:val="1D2630"/>
        </w:rPr>
        <w:t>Cloud engineering, MLOps, FinOps, IAM et sécurité.</w:t>
      </w:r>
    </w:p>
    <w:p>
      <w:pPr>
        <w:pStyle w:val="ListBullet"/>
      </w:pPr>
      <w:r>
        <w:rPr>
          <w:rFonts w:ascii="Calibri" w:hAnsi="Calibri"/>
          <w:color w:val="1D2630"/>
        </w:rPr>
        <w:t>Automatisation des processus de transport et de logistique.</w:t>
      </w:r>
    </w:p>
    <w:p>
      <w:pPr>
        <w:pStyle w:val="Heading2"/>
      </w:pPr>
      <w:r>
        <w:t>3.3 Performance et maîtrise des coûts</w:t>
      </w:r>
    </w:p>
    <w:p>
      <w:r>
        <w:rPr>
          <w:rFonts w:ascii="Calibri" w:hAnsi="Calibri"/>
          <w:color w:val="1D2630"/>
        </w:rPr>
        <w:t>Les résultats 2025 du groupe et de la principale entité française renforcent la sensibilité au ROI, aux délais et à la productivité. Tilencia devra donc relier chaque proposition à un résultat mesurable : sécurisation du planning, réduction du risque de bascule, amélioration de la qualité, diminution des incidents ou optimisation du coût des ressources.</w:t>
      </w:r>
    </w:p>
    <w:tbl>
      <w:tblPr>
        <w:tblW w:type="dxa" w:w="9360"/>
        <w:jc w:val="left"/>
        <w:tblLayout w:type="fixed"/>
        <w:tblLook w:firstColumn="1" w:firstRow="1" w:lastColumn="0" w:lastRow="0" w:noHBand="0" w:noVBand="1" w:val="04A0"/>
        <w:tblInd w:type="dxa" w:w="180"/>
      </w:tblPr>
      <w:tblGrid>
        <w:gridCol w:w="9360"/>
      </w:tblGrid>
      <w:tr>
        <w:trPr>
          <w:cantSplit/>
        </w:trPr>
        <w:tc>
          <w:tcPr>
            <w:tcW w:type="dxa" w:w="9360"/>
            <w:shd w:fill="FFF8E8"/>
            <w:tcBorders>
              <w:top w:val="nil"/>
              <w:left w:val="single" w:sz="20" w:color="9A6A00"/>
              <w:bottom w:val="nil"/>
              <w:right w:val="nil"/>
            </w:tcBorders>
            <w:tcMar>
              <w:top w:w="120" w:type="dxa"/>
              <w:bottom w:w="120" w:type="dxa"/>
              <w:start w:w="180" w:type="dxa"/>
              <w:end w:w="180" w:type="dxa"/>
            </w:tcMar>
          </w:tcPr>
          <w:p>
            <w:pPr>
              <w:spacing w:before="60" w:after="60"/>
            </w:pPr>
            <w:r>
              <w:rPr>
                <w:rFonts w:ascii="Calibri" w:hAnsi="Calibri"/>
                <w:b/>
                <w:color w:val="9A6A00"/>
              </w:rPr>
              <w:t xml:space="preserve">Conséquence commerciale. </w:t>
            </w:r>
            <w:r>
              <w:rPr>
                <w:rFonts w:ascii="Calibri" w:hAnsi="Calibri"/>
                <w:color w:val="1D2630"/>
              </w:rPr>
              <w:t>Le discours ne doit jamais se limiter à la fourniture d'un CV. Chaque profil présenté doit être associé à un risque client couvert, un livrable attendu, un délai de mobilisation et un impact opérationnel.</w:t>
            </w:r>
          </w:p>
        </w:tc>
      </w:tr>
    </w:tbl>
    <w:p>
      <w:pPr>
        <w:spacing w:after="0"/>
      </w:pPr>
    </w:p>
    <w:p>
      <w:pPr>
        <w:pStyle w:val="Heading1"/>
      </w:pPr>
      <w:r>
        <w:t>4. Potentiel pour Tilencia et axes d'offres</w:t>
      </w:r>
    </w:p>
    <w:tbl>
      <w:tblPr>
        <w:tblStyle w:val="TableGrid"/>
        <w:tblW w:type="dxa" w:w="9360"/>
        <w:jc w:val="left"/>
        <w:tblLayout w:type="fixed"/>
        <w:tblLook w:firstColumn="1" w:firstRow="1" w:lastColumn="0" w:lastRow="0" w:noHBand="0" w:noVBand="1" w:val="04A0"/>
        <w:tblInd w:type="dxa" w:w="120"/>
      </w:tblPr>
      <w:tblGrid>
        <w:gridCol w:w="1800"/>
        <w:gridCol w:w="1224"/>
        <w:gridCol w:w="3096"/>
        <w:gridCol w:w="3240"/>
      </w:tblGrid>
      <w:tr>
        <w:trPr>
          <w:tblHeader w:val="true"/>
          <w:cantSplit/>
        </w:trPr>
        <w:tc>
          <w:tcPr>
            <w:tcW w:type="dxa" w:w="1800"/>
            <w:shd w:fill="F2F4F7"/>
            <w:vAlign w:val="center"/>
            <w:tcMar>
              <w:top w:w="80" w:type="dxa"/>
              <w:bottom w:w="80" w:type="dxa"/>
              <w:start w:w="120" w:type="dxa"/>
              <w:end w:w="120" w:type="dxa"/>
            </w:tcMar>
          </w:tcPr>
          <w:p>
            <w:pPr>
              <w:spacing w:before="20" w:after="20"/>
            </w:pPr>
            <w:r>
              <w:rPr>
                <w:rFonts w:ascii="Calibri" w:hAnsi="Calibri"/>
                <w:b/>
                <w:color w:val="0B2545"/>
                <w:sz w:val="17"/>
              </w:rPr>
              <w:t>Axe</w:t>
            </w:r>
          </w:p>
        </w:tc>
        <w:tc>
          <w:tcPr>
            <w:tcW w:type="dxa" w:w="1224"/>
            <w:shd w:fill="F2F4F7"/>
            <w:vAlign w:val="center"/>
            <w:tcMar>
              <w:top w:w="80" w:type="dxa"/>
              <w:bottom w:w="80" w:type="dxa"/>
              <w:start w:w="120" w:type="dxa"/>
              <w:end w:w="120" w:type="dxa"/>
            </w:tcMar>
          </w:tcPr>
          <w:p>
            <w:pPr>
              <w:spacing w:before="20" w:after="20"/>
            </w:pPr>
            <w:r>
              <w:rPr>
                <w:rFonts w:ascii="Calibri" w:hAnsi="Calibri"/>
                <w:b/>
                <w:color w:val="0B2545"/>
                <w:sz w:val="17"/>
              </w:rPr>
              <w:t>Priorité</w:t>
            </w:r>
          </w:p>
        </w:tc>
        <w:tc>
          <w:tcPr>
            <w:tcW w:type="dxa" w:w="3096"/>
            <w:shd w:fill="F2F4F7"/>
            <w:vAlign w:val="center"/>
            <w:tcMar>
              <w:top w:w="80" w:type="dxa"/>
              <w:bottom w:w="80" w:type="dxa"/>
              <w:start w:w="120" w:type="dxa"/>
              <w:end w:w="120" w:type="dxa"/>
            </w:tcMar>
          </w:tcPr>
          <w:p>
            <w:pPr>
              <w:spacing w:before="20" w:after="20"/>
            </w:pPr>
            <w:r>
              <w:rPr>
                <w:rFonts w:ascii="Calibri" w:hAnsi="Calibri"/>
                <w:b/>
                <w:color w:val="0B2545"/>
                <w:sz w:val="17"/>
              </w:rPr>
              <w:t>Besoins probables</w:t>
            </w:r>
          </w:p>
        </w:tc>
        <w:tc>
          <w:tcPr>
            <w:tcW w:type="dxa" w:w="3240"/>
            <w:shd w:fill="F2F4F7"/>
            <w:vAlign w:val="center"/>
            <w:tcMar>
              <w:top w:w="80" w:type="dxa"/>
              <w:bottom w:w="80" w:type="dxa"/>
              <w:start w:w="120" w:type="dxa"/>
              <w:end w:w="120" w:type="dxa"/>
            </w:tcMar>
          </w:tcPr>
          <w:p>
            <w:pPr>
              <w:spacing w:before="20" w:after="20"/>
            </w:pPr>
            <w:r>
              <w:rPr>
                <w:rFonts w:ascii="Calibri" w:hAnsi="Calibri"/>
                <w:b/>
                <w:color w:val="0B2545"/>
                <w:sz w:val="17"/>
              </w:rPr>
              <w:t>Positionnement Tilencia</w:t>
            </w:r>
          </w:p>
        </w:tc>
      </w:tr>
      <w:tr>
        <w:trPr>
          <w:cantSplit/>
        </w:trPr>
        <w:tc>
          <w:tcPr>
            <w:tcW w:type="dxa" w:w="1800"/>
            <w:vAlign w:val="top"/>
            <w:tcMar>
              <w:top w:w="80" w:type="dxa"/>
              <w:bottom w:w="80" w:type="dxa"/>
              <w:start w:w="120" w:type="dxa"/>
              <w:end w:w="120" w:type="dxa"/>
            </w:tcMar>
          </w:tcPr>
          <w:p>
            <w:pPr>
              <w:spacing w:before="0" w:after="40" w:line="240" w:lineRule="auto"/>
            </w:pPr>
            <w:r>
              <w:rPr>
                <w:rFonts w:ascii="Calibri" w:hAnsi="Calibri"/>
                <w:b/>
                <w:color w:val="1D2630"/>
                <w:sz w:val="17"/>
              </w:rPr>
              <w:t>WMS / Blue Yonder</w:t>
            </w:r>
          </w:p>
        </w:tc>
        <w:tc>
          <w:tcPr>
            <w:tcW w:type="dxa" w:w="1224"/>
            <w:vAlign w:val="top"/>
            <w:tcMar>
              <w:top w:w="80" w:type="dxa"/>
              <w:bottom w:w="80" w:type="dxa"/>
              <w:start w:w="120" w:type="dxa"/>
              <w:end w:w="120" w:type="dxa"/>
            </w:tcMar>
          </w:tcPr>
          <w:p>
            <w:pPr>
              <w:spacing w:before="0" w:after="40" w:line="240" w:lineRule="auto"/>
            </w:pPr>
            <w:r>
              <w:rPr>
                <w:rFonts w:ascii="Calibri" w:hAnsi="Calibri"/>
                <w:b w:val="0"/>
                <w:color w:val="1D2630"/>
                <w:sz w:val="17"/>
              </w:rPr>
              <w:t>Très forte</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7"/>
              </w:rPr>
              <w:t>Déploiement, configuration, migration, tests, cutover</w:t>
            </w:r>
          </w:p>
        </w:tc>
        <w:tc>
          <w:tcPr>
            <w:tcW w:type="dxa" w:w="3240"/>
            <w:vAlign w:val="top"/>
            <w:tcMar>
              <w:top w:w="80" w:type="dxa"/>
              <w:bottom w:w="80" w:type="dxa"/>
              <w:start w:w="120" w:type="dxa"/>
              <w:end w:w="120" w:type="dxa"/>
            </w:tcMar>
          </w:tcPr>
          <w:p>
            <w:pPr>
              <w:spacing w:before="0" w:after="40" w:line="240" w:lineRule="auto"/>
            </w:pPr>
            <w:r>
              <w:rPr>
                <w:rFonts w:ascii="Calibri" w:hAnsi="Calibri"/>
                <w:b w:val="0"/>
                <w:color w:val="1D2630"/>
                <w:sz w:val="17"/>
              </w:rPr>
              <w:t>Task force locale et profils experts ciblés</w:t>
            </w:r>
          </w:p>
        </w:tc>
      </w:tr>
      <w:tr>
        <w:trPr>
          <w:cantSplit/>
        </w:trPr>
        <w:tc>
          <w:tcPr>
            <w:tcW w:type="dxa" w:w="1800"/>
            <w:vAlign w:val="top"/>
            <w:tcMar>
              <w:top w:w="80" w:type="dxa"/>
              <w:bottom w:w="80" w:type="dxa"/>
              <w:start w:w="120" w:type="dxa"/>
              <w:end w:w="120" w:type="dxa"/>
            </w:tcMar>
          </w:tcPr>
          <w:p>
            <w:pPr>
              <w:spacing w:before="0" w:after="40" w:line="240" w:lineRule="auto"/>
            </w:pPr>
            <w:r>
              <w:rPr>
                <w:rFonts w:ascii="Calibri" w:hAnsi="Calibri"/>
                <w:b/>
                <w:color w:val="1D2630"/>
                <w:sz w:val="17"/>
              </w:rPr>
              <w:t>EDI / API / intégration</w:t>
            </w:r>
          </w:p>
        </w:tc>
        <w:tc>
          <w:tcPr>
            <w:tcW w:type="dxa" w:w="1224"/>
            <w:vAlign w:val="top"/>
            <w:tcMar>
              <w:top w:w="80" w:type="dxa"/>
              <w:bottom w:w="80" w:type="dxa"/>
              <w:start w:w="120" w:type="dxa"/>
              <w:end w:w="120" w:type="dxa"/>
            </w:tcMar>
          </w:tcPr>
          <w:p>
            <w:pPr>
              <w:spacing w:before="0" w:after="40" w:line="240" w:lineRule="auto"/>
            </w:pPr>
            <w:r>
              <w:rPr>
                <w:rFonts w:ascii="Calibri" w:hAnsi="Calibri"/>
                <w:b w:val="0"/>
                <w:color w:val="1D2630"/>
                <w:sz w:val="17"/>
              </w:rPr>
              <w:t>Très forte</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7"/>
              </w:rPr>
              <w:t>Interfaces clients, ERP, transporteurs et plateformes</w:t>
            </w:r>
          </w:p>
        </w:tc>
        <w:tc>
          <w:tcPr>
            <w:tcW w:type="dxa" w:w="3240"/>
            <w:vAlign w:val="top"/>
            <w:tcMar>
              <w:top w:w="80" w:type="dxa"/>
              <w:bottom w:w="80" w:type="dxa"/>
              <w:start w:w="120" w:type="dxa"/>
              <w:end w:w="120" w:type="dxa"/>
            </w:tcMar>
          </w:tcPr>
          <w:p>
            <w:pPr>
              <w:spacing w:before="0" w:after="40" w:line="240" w:lineRule="auto"/>
            </w:pPr>
            <w:r>
              <w:rPr>
                <w:rFonts w:ascii="Calibri" w:hAnsi="Calibri"/>
                <w:b w:val="0"/>
                <w:color w:val="1D2630"/>
                <w:sz w:val="17"/>
              </w:rPr>
              <w:t>Experts EDI, architectes et chefs de projet</w:t>
            </w:r>
          </w:p>
        </w:tc>
      </w:tr>
      <w:tr>
        <w:trPr>
          <w:cantSplit/>
        </w:trPr>
        <w:tc>
          <w:tcPr>
            <w:tcW w:type="dxa" w:w="1800"/>
            <w:vAlign w:val="top"/>
            <w:tcMar>
              <w:top w:w="80" w:type="dxa"/>
              <w:bottom w:w="80" w:type="dxa"/>
              <w:start w:w="120" w:type="dxa"/>
              <w:end w:w="120" w:type="dxa"/>
            </w:tcMar>
          </w:tcPr>
          <w:p>
            <w:pPr>
              <w:spacing w:before="0" w:after="40" w:line="240" w:lineRule="auto"/>
            </w:pPr>
            <w:r>
              <w:rPr>
                <w:rFonts w:ascii="Calibri" w:hAnsi="Calibri"/>
                <w:b/>
                <w:color w:val="1D2630"/>
                <w:sz w:val="17"/>
              </w:rPr>
              <w:t>Data / BI</w:t>
            </w:r>
          </w:p>
        </w:tc>
        <w:tc>
          <w:tcPr>
            <w:tcW w:type="dxa" w:w="1224"/>
            <w:vAlign w:val="top"/>
            <w:tcMar>
              <w:top w:w="80" w:type="dxa"/>
              <w:bottom w:w="80" w:type="dxa"/>
              <w:start w:w="120" w:type="dxa"/>
              <w:end w:w="120" w:type="dxa"/>
            </w:tcMar>
          </w:tcPr>
          <w:p>
            <w:pPr>
              <w:spacing w:before="0" w:after="40" w:line="240" w:lineRule="auto"/>
            </w:pPr>
            <w:r>
              <w:rPr>
                <w:rFonts w:ascii="Calibri" w:hAnsi="Calibri"/>
                <w:b w:val="0"/>
                <w:color w:val="1D2630"/>
                <w:sz w:val="17"/>
              </w:rPr>
              <w:t>Forte</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7"/>
              </w:rPr>
              <w:t>Qualité, migration, reporting, traçabilité</w:t>
            </w:r>
          </w:p>
        </w:tc>
        <w:tc>
          <w:tcPr>
            <w:tcW w:type="dxa" w:w="3240"/>
            <w:vAlign w:val="top"/>
            <w:tcMar>
              <w:top w:w="80" w:type="dxa"/>
              <w:bottom w:w="80" w:type="dxa"/>
              <w:start w:w="120" w:type="dxa"/>
              <w:end w:w="120" w:type="dxa"/>
            </w:tcMar>
          </w:tcPr>
          <w:p>
            <w:pPr>
              <w:spacing w:before="0" w:after="40" w:line="240" w:lineRule="auto"/>
            </w:pPr>
            <w:r>
              <w:rPr>
                <w:rFonts w:ascii="Calibri" w:hAnsi="Calibri"/>
                <w:b w:val="0"/>
                <w:color w:val="1D2630"/>
                <w:sz w:val="17"/>
              </w:rPr>
              <w:t>Data engineers, data quality et Power BI</w:t>
            </w:r>
          </w:p>
        </w:tc>
      </w:tr>
      <w:tr>
        <w:trPr>
          <w:cantSplit/>
        </w:trPr>
        <w:tc>
          <w:tcPr>
            <w:tcW w:type="dxa" w:w="1800"/>
            <w:vAlign w:val="top"/>
            <w:tcMar>
              <w:top w:w="80" w:type="dxa"/>
              <w:bottom w:w="80" w:type="dxa"/>
              <w:start w:w="120" w:type="dxa"/>
              <w:end w:w="120" w:type="dxa"/>
            </w:tcMar>
          </w:tcPr>
          <w:p>
            <w:pPr>
              <w:spacing w:before="0" w:after="40" w:line="240" w:lineRule="auto"/>
            </w:pPr>
            <w:r>
              <w:rPr>
                <w:rFonts w:ascii="Calibri" w:hAnsi="Calibri"/>
                <w:b/>
                <w:color w:val="1D2630"/>
                <w:sz w:val="17"/>
              </w:rPr>
              <w:t>Cloud / DevOps</w:t>
            </w:r>
          </w:p>
        </w:tc>
        <w:tc>
          <w:tcPr>
            <w:tcW w:type="dxa" w:w="1224"/>
            <w:vAlign w:val="top"/>
            <w:tcMar>
              <w:top w:w="80" w:type="dxa"/>
              <w:bottom w:w="80" w:type="dxa"/>
              <w:start w:w="120" w:type="dxa"/>
              <w:end w:w="120" w:type="dxa"/>
            </w:tcMar>
          </w:tcPr>
          <w:p>
            <w:pPr>
              <w:spacing w:before="0" w:after="40" w:line="240" w:lineRule="auto"/>
            </w:pPr>
            <w:r>
              <w:rPr>
                <w:rFonts w:ascii="Calibri" w:hAnsi="Calibri"/>
                <w:b w:val="0"/>
                <w:color w:val="1D2630"/>
                <w:sz w:val="17"/>
              </w:rPr>
              <w:t>Forte</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7"/>
              </w:rPr>
              <w:t>Industrialisation, CI/CD, observabilité et coûts</w:t>
            </w:r>
          </w:p>
        </w:tc>
        <w:tc>
          <w:tcPr>
            <w:tcW w:type="dxa" w:w="3240"/>
            <w:vAlign w:val="top"/>
            <w:tcMar>
              <w:top w:w="80" w:type="dxa"/>
              <w:bottom w:w="80" w:type="dxa"/>
              <w:start w:w="120" w:type="dxa"/>
              <w:end w:w="120" w:type="dxa"/>
            </w:tcMar>
          </w:tcPr>
          <w:p>
            <w:pPr>
              <w:spacing w:before="0" w:after="40" w:line="240" w:lineRule="auto"/>
            </w:pPr>
            <w:r>
              <w:rPr>
                <w:rFonts w:ascii="Calibri" w:hAnsi="Calibri"/>
                <w:b w:val="0"/>
                <w:color w:val="1D2630"/>
                <w:sz w:val="17"/>
              </w:rPr>
              <w:t>Cloud engineers, DevOps et FinOps</w:t>
            </w:r>
          </w:p>
        </w:tc>
      </w:tr>
      <w:tr>
        <w:trPr>
          <w:cantSplit/>
        </w:trPr>
        <w:tc>
          <w:tcPr>
            <w:tcW w:type="dxa" w:w="1800"/>
            <w:vAlign w:val="top"/>
            <w:tcMar>
              <w:top w:w="80" w:type="dxa"/>
              <w:bottom w:w="80" w:type="dxa"/>
              <w:start w:w="120" w:type="dxa"/>
              <w:end w:w="120" w:type="dxa"/>
            </w:tcMar>
          </w:tcPr>
          <w:p>
            <w:pPr>
              <w:spacing w:before="0" w:after="40" w:line="240" w:lineRule="auto"/>
            </w:pPr>
            <w:r>
              <w:rPr>
                <w:rFonts w:ascii="Calibri" w:hAnsi="Calibri"/>
                <w:b/>
                <w:color w:val="1D2630"/>
                <w:sz w:val="17"/>
              </w:rPr>
              <w:t>Cybersécurité</w:t>
            </w:r>
          </w:p>
        </w:tc>
        <w:tc>
          <w:tcPr>
            <w:tcW w:type="dxa" w:w="1224"/>
            <w:vAlign w:val="top"/>
            <w:tcMar>
              <w:top w:w="80" w:type="dxa"/>
              <w:bottom w:w="80" w:type="dxa"/>
              <w:start w:w="120" w:type="dxa"/>
              <w:end w:w="120" w:type="dxa"/>
            </w:tcMar>
          </w:tcPr>
          <w:p>
            <w:pPr>
              <w:spacing w:before="0" w:after="40" w:line="240" w:lineRule="auto"/>
            </w:pPr>
            <w:r>
              <w:rPr>
                <w:rFonts w:ascii="Calibri" w:hAnsi="Calibri"/>
                <w:b w:val="0"/>
                <w:color w:val="1D2630"/>
                <w:sz w:val="17"/>
              </w:rPr>
              <w:t>Forte</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7"/>
              </w:rPr>
              <w:t>IAM, sécurité cloud, vulnérabilités, continuité</w:t>
            </w:r>
          </w:p>
        </w:tc>
        <w:tc>
          <w:tcPr>
            <w:tcW w:type="dxa" w:w="3240"/>
            <w:vAlign w:val="top"/>
            <w:tcMar>
              <w:top w:w="80" w:type="dxa"/>
              <w:bottom w:w="80" w:type="dxa"/>
              <w:start w:w="120" w:type="dxa"/>
              <w:end w:w="120" w:type="dxa"/>
            </w:tcMar>
          </w:tcPr>
          <w:p>
            <w:pPr>
              <w:spacing w:before="0" w:after="40" w:line="240" w:lineRule="auto"/>
            </w:pPr>
            <w:r>
              <w:rPr>
                <w:rFonts w:ascii="Calibri" w:hAnsi="Calibri"/>
                <w:b w:val="0"/>
                <w:color w:val="1D2630"/>
                <w:sz w:val="17"/>
              </w:rPr>
              <w:t>Experts IAM, cloud security et GRC</w:t>
            </w:r>
          </w:p>
        </w:tc>
      </w:tr>
      <w:tr>
        <w:trPr>
          <w:cantSplit/>
        </w:trPr>
        <w:tc>
          <w:tcPr>
            <w:tcW w:type="dxa" w:w="1800"/>
            <w:vAlign w:val="top"/>
            <w:tcMar>
              <w:top w:w="80" w:type="dxa"/>
              <w:bottom w:w="80" w:type="dxa"/>
              <w:start w:w="120" w:type="dxa"/>
              <w:end w:w="120" w:type="dxa"/>
            </w:tcMar>
          </w:tcPr>
          <w:p>
            <w:pPr>
              <w:spacing w:before="0" w:after="40" w:line="240" w:lineRule="auto"/>
            </w:pPr>
            <w:r>
              <w:rPr>
                <w:rFonts w:ascii="Calibri" w:hAnsi="Calibri"/>
                <w:b/>
                <w:color w:val="1D2630"/>
                <w:sz w:val="17"/>
              </w:rPr>
              <w:t>PMO / QA / ITSM</w:t>
            </w:r>
          </w:p>
        </w:tc>
        <w:tc>
          <w:tcPr>
            <w:tcW w:type="dxa" w:w="1224"/>
            <w:vAlign w:val="top"/>
            <w:tcMar>
              <w:top w:w="80" w:type="dxa"/>
              <w:bottom w:w="80" w:type="dxa"/>
              <w:start w:w="120" w:type="dxa"/>
              <w:end w:w="120" w:type="dxa"/>
            </w:tcMar>
          </w:tcPr>
          <w:p>
            <w:pPr>
              <w:spacing w:before="0" w:after="40" w:line="240" w:lineRule="auto"/>
            </w:pPr>
            <w:r>
              <w:rPr>
                <w:rFonts w:ascii="Calibri" w:hAnsi="Calibri"/>
                <w:b w:val="0"/>
                <w:color w:val="1D2630"/>
                <w:sz w:val="17"/>
              </w:rPr>
              <w:t>Forte</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7"/>
              </w:rPr>
              <w:t>Pilotage, qualité, KPI, fournisseurs et RUN</w:t>
            </w:r>
          </w:p>
        </w:tc>
        <w:tc>
          <w:tcPr>
            <w:tcW w:type="dxa" w:w="3240"/>
            <w:vAlign w:val="top"/>
            <w:tcMar>
              <w:top w:w="80" w:type="dxa"/>
              <w:bottom w:w="80" w:type="dxa"/>
              <w:start w:w="120" w:type="dxa"/>
              <w:end w:w="120" w:type="dxa"/>
            </w:tcMar>
          </w:tcPr>
          <w:p>
            <w:pPr>
              <w:spacing w:before="0" w:after="40" w:line="240" w:lineRule="auto"/>
            </w:pPr>
            <w:r>
              <w:rPr>
                <w:rFonts w:ascii="Calibri" w:hAnsi="Calibri"/>
                <w:b w:val="0"/>
                <w:color w:val="1D2630"/>
                <w:sz w:val="17"/>
              </w:rPr>
              <w:t>PMO, test managers, ITIL et performance IT</w:t>
            </w:r>
          </w:p>
        </w:tc>
      </w:tr>
      <w:tr>
        <w:trPr>
          <w:cantSplit/>
        </w:trPr>
        <w:tc>
          <w:tcPr>
            <w:tcW w:type="dxa" w:w="1800"/>
            <w:vAlign w:val="top"/>
            <w:tcMar>
              <w:top w:w="80" w:type="dxa"/>
              <w:bottom w:w="80" w:type="dxa"/>
              <w:start w:w="120" w:type="dxa"/>
              <w:end w:w="120" w:type="dxa"/>
            </w:tcMar>
          </w:tcPr>
          <w:p>
            <w:pPr>
              <w:spacing w:before="0" w:after="40" w:line="240" w:lineRule="auto"/>
            </w:pPr>
            <w:r>
              <w:rPr>
                <w:rFonts w:ascii="Calibri" w:hAnsi="Calibri"/>
                <w:b/>
                <w:color w:val="1D2630"/>
                <w:sz w:val="17"/>
              </w:rPr>
              <w:t>IA / automatisation</w:t>
            </w:r>
          </w:p>
        </w:tc>
        <w:tc>
          <w:tcPr>
            <w:tcW w:type="dxa" w:w="1224"/>
            <w:vAlign w:val="top"/>
            <w:tcMar>
              <w:top w:w="80" w:type="dxa"/>
              <w:bottom w:w="80" w:type="dxa"/>
              <w:start w:w="120" w:type="dxa"/>
              <w:end w:w="120" w:type="dxa"/>
            </w:tcMar>
          </w:tcPr>
          <w:p>
            <w:pPr>
              <w:spacing w:before="0" w:after="40" w:line="240" w:lineRule="auto"/>
            </w:pPr>
            <w:r>
              <w:rPr>
                <w:rFonts w:ascii="Calibri" w:hAnsi="Calibri"/>
                <w:b w:val="0"/>
                <w:color w:val="1D2630"/>
                <w:sz w:val="17"/>
              </w:rPr>
              <w:t>Forte mais centralisée</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7"/>
              </w:rPr>
              <w:t>Cas d'usage, agents, adoption et gouvernance</w:t>
            </w:r>
          </w:p>
        </w:tc>
        <w:tc>
          <w:tcPr>
            <w:tcW w:type="dxa" w:w="3240"/>
            <w:vAlign w:val="top"/>
            <w:tcMar>
              <w:top w:w="80" w:type="dxa"/>
              <w:bottom w:w="80" w:type="dxa"/>
              <w:start w:w="120" w:type="dxa"/>
              <w:end w:w="120" w:type="dxa"/>
            </w:tcMar>
          </w:tcPr>
          <w:p>
            <w:pPr>
              <w:spacing w:before="0" w:after="40" w:line="240" w:lineRule="auto"/>
            </w:pPr>
            <w:r>
              <w:rPr>
                <w:rFonts w:ascii="Calibri" w:hAnsi="Calibri"/>
                <w:b w:val="0"/>
                <w:color w:val="1D2630"/>
                <w:sz w:val="17"/>
              </w:rPr>
              <w:t>Renfort local orienté métier et conduite du changement</w:t>
            </w:r>
          </w:p>
        </w:tc>
      </w:tr>
      <w:tr>
        <w:trPr>
          <w:cantSplit/>
        </w:trPr>
        <w:tc>
          <w:tcPr>
            <w:tcW w:type="dxa" w:w="1800"/>
            <w:vAlign w:val="top"/>
            <w:tcMar>
              <w:top w:w="80" w:type="dxa"/>
              <w:bottom w:w="80" w:type="dxa"/>
              <w:start w:w="120" w:type="dxa"/>
              <w:end w:w="120" w:type="dxa"/>
            </w:tcMar>
          </w:tcPr>
          <w:p>
            <w:pPr>
              <w:spacing w:before="0" w:after="40" w:line="240" w:lineRule="auto"/>
            </w:pPr>
            <w:r>
              <w:rPr>
                <w:rFonts w:ascii="Calibri" w:hAnsi="Calibri"/>
                <w:b/>
                <w:color w:val="1D2630"/>
                <w:sz w:val="17"/>
              </w:rPr>
              <w:t>Infrastructure sites</w:t>
            </w:r>
          </w:p>
        </w:tc>
        <w:tc>
          <w:tcPr>
            <w:tcW w:type="dxa" w:w="1224"/>
            <w:vAlign w:val="top"/>
            <w:tcMar>
              <w:top w:w="80" w:type="dxa"/>
              <w:bottom w:w="80" w:type="dxa"/>
              <w:start w:w="120" w:type="dxa"/>
              <w:end w:w="120" w:type="dxa"/>
            </w:tcMar>
          </w:tcPr>
          <w:p>
            <w:pPr>
              <w:spacing w:before="0" w:after="40" w:line="240" w:lineRule="auto"/>
            </w:pPr>
            <w:r>
              <w:rPr>
                <w:rFonts w:ascii="Calibri" w:hAnsi="Calibri"/>
                <w:b w:val="0"/>
                <w:color w:val="1D2630"/>
                <w:sz w:val="17"/>
              </w:rPr>
              <w:t>Moyenne à forte</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7"/>
              </w:rPr>
              <w:t>Réseau, workplace, déploiements et support</w:t>
            </w:r>
          </w:p>
        </w:tc>
        <w:tc>
          <w:tcPr>
            <w:tcW w:type="dxa" w:w="3240"/>
            <w:vAlign w:val="top"/>
            <w:tcMar>
              <w:top w:w="80" w:type="dxa"/>
              <w:bottom w:w="80" w:type="dxa"/>
              <w:start w:w="120" w:type="dxa"/>
              <w:end w:w="120" w:type="dxa"/>
            </w:tcMar>
          </w:tcPr>
          <w:p>
            <w:pPr>
              <w:spacing w:before="0" w:after="40" w:line="240" w:lineRule="auto"/>
            </w:pPr>
            <w:r>
              <w:rPr>
                <w:rFonts w:ascii="Calibri" w:hAnsi="Calibri"/>
                <w:b w:val="0"/>
                <w:color w:val="1D2630"/>
                <w:sz w:val="17"/>
              </w:rPr>
              <w:t>Profils infra de proximité et chefs de projet</w:t>
            </w:r>
          </w:p>
        </w:tc>
      </w:tr>
    </w:tbl>
    <w:p>
      <w:pPr>
        <w:spacing w:after="0"/>
      </w:pPr>
    </w:p>
    <w:p>
      <w:pPr>
        <w:pStyle w:val="Heading2"/>
      </w:pPr>
      <w:r>
        <w:t>4.1 Offre d'entrée recommandée</w:t>
      </w:r>
    </w:p>
    <w:tbl>
      <w:tblPr>
        <w:tblW w:type="dxa" w:w="9360"/>
        <w:jc w:val="left"/>
        <w:tblLayout w:type="fixed"/>
        <w:tblLook w:firstColumn="1" w:firstRow="1" w:lastColumn="0" w:lastRow="0" w:noHBand="0" w:noVBand="1" w:val="04A0"/>
        <w:tblInd w:type="dxa" w:w="180"/>
      </w:tblPr>
      <w:tblGrid>
        <w:gridCol w:w="9360"/>
      </w:tblGrid>
      <w:tr>
        <w:trPr>
          <w:cantSplit/>
        </w:trPr>
        <w:tc>
          <w:tcPr>
            <w:tcW w:type="dxa" w:w="9360"/>
            <w:shd w:fill="E8EEF5"/>
            <w:tcBorders>
              <w:top w:val="nil"/>
              <w:left w:val="single" w:sz="20" w:color="0B7285"/>
              <w:bottom w:val="nil"/>
              <w:right w:val="nil"/>
            </w:tcBorders>
            <w:tcMar>
              <w:top w:w="120" w:type="dxa"/>
              <w:bottom w:w="120" w:type="dxa"/>
              <w:start w:w="180" w:type="dxa"/>
              <w:end w:w="180" w:type="dxa"/>
            </w:tcMar>
          </w:tcPr>
          <w:p>
            <w:pPr>
              <w:spacing w:before="60" w:after="60"/>
            </w:pPr>
            <w:r>
              <w:rPr>
                <w:rFonts w:ascii="Calibri" w:hAnsi="Calibri"/>
                <w:b/>
                <w:color w:val="0B7285"/>
              </w:rPr>
              <w:t xml:space="preserve">WMS Deployment &amp; Integration Task Force. </w:t>
            </w:r>
            <w:r>
              <w:rPr>
                <w:rFonts w:ascii="Calibri" w:hAnsi="Calibri"/>
                <w:color w:val="1D2630"/>
              </w:rPr>
              <w:t>Une équipe modulable couvrant le pilotage WMS, les interfaces EDI/API, la migration de données, les tests, le cutover, l'hypercare et la conduite du changement. L'objectif est de compléter les équipes centrales et les grands intégrateurs sur les besoins locaux français.</w:t>
            </w:r>
          </w:p>
        </w:tc>
      </w:tr>
    </w:tbl>
    <w:p>
      <w:pPr>
        <w:spacing w:after="0"/>
      </w:pPr>
    </w:p>
    <w:p>
      <w:pPr>
        <w:pStyle w:val="Heading3"/>
      </w:pPr>
      <w:r>
        <w:t>Promesse</w:t>
      </w:r>
    </w:p>
    <w:p>
      <w:r>
        <w:rPr>
          <w:rFonts w:ascii="Calibri" w:hAnsi="Calibri"/>
          <w:color w:val="1D2630"/>
        </w:rPr>
        <w:t>Tilencia sécurise les déploiements IT critiques de Kuehne+Nagel en France en mobilisant rapidement des experts qualifiés, proches des sites, validés techniquement et positionnés au juste niveau de TJM.</w:t>
      </w:r>
    </w:p>
    <w:p>
      <w:pPr>
        <w:pStyle w:val="Heading2"/>
      </w:pPr>
      <w:r>
        <w:t>4.2 Potentiel économique indicatif</w:t>
      </w:r>
    </w:p>
    <w:tbl>
      <w:tblPr>
        <w:tblStyle w:val="TableGrid"/>
        <w:tblW w:type="dxa" w:w="9360"/>
        <w:jc w:val="left"/>
        <w:tblLayout w:type="fixed"/>
        <w:tblLook w:firstColumn="1" w:firstRow="1" w:lastColumn="0" w:lastRow="0" w:noHBand="0" w:noVBand="1" w:val="04A0"/>
        <w:tblInd w:type="dxa" w:w="120"/>
      </w:tblPr>
      <w:tblGrid>
        <w:gridCol w:w="1872"/>
        <w:gridCol w:w="1440"/>
        <w:gridCol w:w="2088"/>
        <w:gridCol w:w="3960"/>
      </w:tblGrid>
      <w:tr>
        <w:trPr>
          <w:tblHeader w:val="true"/>
          <w:cantSplit/>
        </w:trPr>
        <w:tc>
          <w:tcPr>
            <w:tcW w:type="dxa" w:w="1872"/>
            <w:shd w:fill="F2F4F7"/>
            <w:vAlign w:val="center"/>
            <w:tcMar>
              <w:top w:w="80" w:type="dxa"/>
              <w:bottom w:w="80" w:type="dxa"/>
              <w:start w:w="120" w:type="dxa"/>
              <w:end w:w="120" w:type="dxa"/>
            </w:tcMar>
          </w:tcPr>
          <w:p>
            <w:pPr>
              <w:spacing w:before="20" w:after="20"/>
            </w:pPr>
            <w:r>
              <w:rPr>
                <w:rFonts w:ascii="Calibri" w:hAnsi="Calibri"/>
                <w:b/>
                <w:color w:val="0B2545"/>
                <w:sz w:val="19"/>
              </w:rPr>
              <w:t>Scénario</w:t>
            </w:r>
          </w:p>
        </w:tc>
        <w:tc>
          <w:tcPr>
            <w:tcW w:type="dxa" w:w="1440"/>
            <w:shd w:fill="F2F4F7"/>
            <w:vAlign w:val="center"/>
            <w:tcMar>
              <w:top w:w="80" w:type="dxa"/>
              <w:bottom w:w="80" w:type="dxa"/>
              <w:start w:w="120" w:type="dxa"/>
              <w:end w:w="120" w:type="dxa"/>
            </w:tcMar>
          </w:tcPr>
          <w:p>
            <w:pPr>
              <w:spacing w:before="20" w:after="20"/>
            </w:pPr>
            <w:r>
              <w:rPr>
                <w:rFonts w:ascii="Calibri" w:hAnsi="Calibri"/>
                <w:b/>
                <w:color w:val="0B2545"/>
                <w:sz w:val="19"/>
              </w:rPr>
              <w:t>Ressources</w:t>
            </w:r>
          </w:p>
        </w:tc>
        <w:tc>
          <w:tcPr>
            <w:tcW w:type="dxa" w:w="2088"/>
            <w:shd w:fill="F2F4F7"/>
            <w:vAlign w:val="center"/>
            <w:tcMar>
              <w:top w:w="80" w:type="dxa"/>
              <w:bottom w:w="80" w:type="dxa"/>
              <w:start w:w="120" w:type="dxa"/>
              <w:end w:w="120" w:type="dxa"/>
            </w:tcMar>
          </w:tcPr>
          <w:p>
            <w:pPr>
              <w:spacing w:before="20" w:after="20"/>
            </w:pPr>
            <w:r>
              <w:rPr>
                <w:rFonts w:ascii="Calibri" w:hAnsi="Calibri"/>
                <w:b/>
                <w:color w:val="0B2545"/>
                <w:sz w:val="19"/>
              </w:rPr>
              <w:t>CA annuel indicatif</w:t>
            </w:r>
          </w:p>
        </w:tc>
        <w:tc>
          <w:tcPr>
            <w:tcW w:type="dxa" w:w="3960"/>
            <w:shd w:fill="F2F4F7"/>
            <w:vAlign w:val="center"/>
            <w:tcMar>
              <w:top w:w="80" w:type="dxa"/>
              <w:bottom w:w="80" w:type="dxa"/>
              <w:start w:w="120" w:type="dxa"/>
              <w:end w:w="120" w:type="dxa"/>
            </w:tcMar>
          </w:tcPr>
          <w:p>
            <w:pPr>
              <w:spacing w:before="20" w:after="20"/>
            </w:pPr>
            <w:r>
              <w:rPr>
                <w:rFonts w:ascii="Calibri" w:hAnsi="Calibri"/>
                <w:b/>
                <w:color w:val="0B2545"/>
                <w:sz w:val="19"/>
              </w:rPr>
              <w:t>Condition de réussite</w:t>
            </w:r>
          </w:p>
        </w:tc>
      </w:tr>
      <w:tr>
        <w:trPr>
          <w:cantSplit/>
        </w:trPr>
        <w:tc>
          <w:tcPr>
            <w:tcW w:type="dxa" w:w="1872"/>
            <w:vAlign w:val="top"/>
            <w:tcMar>
              <w:top w:w="80" w:type="dxa"/>
              <w:bottom w:w="80" w:type="dxa"/>
              <w:start w:w="120" w:type="dxa"/>
              <w:end w:w="120" w:type="dxa"/>
            </w:tcMar>
          </w:tcPr>
          <w:p>
            <w:pPr>
              <w:spacing w:before="0" w:after="40" w:line="240" w:lineRule="auto"/>
            </w:pPr>
            <w:r>
              <w:rPr>
                <w:rFonts w:ascii="Calibri" w:hAnsi="Calibri"/>
                <w:b/>
                <w:color w:val="1D2630"/>
                <w:sz w:val="19"/>
              </w:rPr>
              <w:t>Première entrée</w:t>
            </w:r>
          </w:p>
        </w:tc>
        <w:tc>
          <w:tcPr>
            <w:tcW w:type="dxa" w:w="1440"/>
            <w:vAlign w:val="top"/>
            <w:tcMar>
              <w:top w:w="80" w:type="dxa"/>
              <w:bottom w:w="80" w:type="dxa"/>
              <w:start w:w="120" w:type="dxa"/>
              <w:end w:w="120" w:type="dxa"/>
            </w:tcMar>
          </w:tcPr>
          <w:p>
            <w:pPr>
              <w:spacing w:before="0" w:after="40" w:line="240" w:lineRule="auto"/>
            </w:pPr>
            <w:r>
              <w:rPr>
                <w:rFonts w:ascii="Calibri" w:hAnsi="Calibri"/>
                <w:b w:val="0"/>
                <w:color w:val="1D2630"/>
                <w:sz w:val="19"/>
              </w:rPr>
              <w:t>1 à 2</w:t>
            </w:r>
          </w:p>
        </w:tc>
        <w:tc>
          <w:tcPr>
            <w:tcW w:type="dxa" w:w="2088"/>
            <w:vAlign w:val="top"/>
            <w:tcMar>
              <w:top w:w="80" w:type="dxa"/>
              <w:bottom w:w="80" w:type="dxa"/>
              <w:start w:w="120" w:type="dxa"/>
              <w:end w:w="120" w:type="dxa"/>
            </w:tcMar>
          </w:tcPr>
          <w:p>
            <w:pPr>
              <w:spacing w:before="0" w:after="40" w:line="240" w:lineRule="auto"/>
            </w:pPr>
            <w:r>
              <w:rPr>
                <w:rFonts w:ascii="Calibri" w:hAnsi="Calibri"/>
                <w:b w:val="0"/>
                <w:color w:val="1D2630"/>
                <w:sz w:val="19"/>
              </w:rPr>
              <w:t>150 à 350 k€</w:t>
            </w:r>
          </w:p>
        </w:tc>
        <w:tc>
          <w:tcPr>
            <w:tcW w:type="dxa" w:w="3960"/>
            <w:vAlign w:val="top"/>
            <w:tcMar>
              <w:top w:w="80" w:type="dxa"/>
              <w:bottom w:w="80" w:type="dxa"/>
              <w:start w:w="120" w:type="dxa"/>
              <w:end w:w="120" w:type="dxa"/>
            </w:tcMar>
          </w:tcPr>
          <w:p>
            <w:pPr>
              <w:spacing w:before="0" w:after="40" w:line="240" w:lineRule="auto"/>
            </w:pPr>
            <w:r>
              <w:rPr>
                <w:rFonts w:ascii="Calibri" w:hAnsi="Calibri"/>
                <w:b w:val="0"/>
                <w:color w:val="1D2630"/>
                <w:sz w:val="19"/>
              </w:rPr>
              <w:t>Sponsor IT identifié et besoin local urgent</w:t>
            </w:r>
          </w:p>
        </w:tc>
      </w:tr>
      <w:tr>
        <w:trPr>
          <w:cantSplit/>
        </w:trPr>
        <w:tc>
          <w:tcPr>
            <w:tcW w:type="dxa" w:w="1872"/>
            <w:vAlign w:val="top"/>
            <w:tcMar>
              <w:top w:w="80" w:type="dxa"/>
              <w:bottom w:w="80" w:type="dxa"/>
              <w:start w:w="120" w:type="dxa"/>
              <w:end w:w="120" w:type="dxa"/>
            </w:tcMar>
          </w:tcPr>
          <w:p>
            <w:pPr>
              <w:spacing w:before="0" w:after="40" w:line="240" w:lineRule="auto"/>
            </w:pPr>
            <w:r>
              <w:rPr>
                <w:rFonts w:ascii="Calibri" w:hAnsi="Calibri"/>
                <w:b/>
                <w:color w:val="1D2630"/>
                <w:sz w:val="19"/>
              </w:rPr>
              <w:t>Développement</w:t>
            </w:r>
          </w:p>
        </w:tc>
        <w:tc>
          <w:tcPr>
            <w:tcW w:type="dxa" w:w="1440"/>
            <w:vAlign w:val="top"/>
            <w:tcMar>
              <w:top w:w="80" w:type="dxa"/>
              <w:bottom w:w="80" w:type="dxa"/>
              <w:start w:w="120" w:type="dxa"/>
              <w:end w:w="120" w:type="dxa"/>
            </w:tcMar>
          </w:tcPr>
          <w:p>
            <w:pPr>
              <w:spacing w:before="0" w:after="40" w:line="240" w:lineRule="auto"/>
            </w:pPr>
            <w:r>
              <w:rPr>
                <w:rFonts w:ascii="Calibri" w:hAnsi="Calibri"/>
                <w:b w:val="0"/>
                <w:color w:val="1D2630"/>
                <w:sz w:val="19"/>
              </w:rPr>
              <w:t>3 à 6</w:t>
            </w:r>
          </w:p>
        </w:tc>
        <w:tc>
          <w:tcPr>
            <w:tcW w:type="dxa" w:w="2088"/>
            <w:vAlign w:val="top"/>
            <w:tcMar>
              <w:top w:w="80" w:type="dxa"/>
              <w:bottom w:w="80" w:type="dxa"/>
              <w:start w:w="120" w:type="dxa"/>
              <w:end w:w="120" w:type="dxa"/>
            </w:tcMar>
          </w:tcPr>
          <w:p>
            <w:pPr>
              <w:spacing w:before="0" w:after="40" w:line="240" w:lineRule="auto"/>
            </w:pPr>
            <w:r>
              <w:rPr>
                <w:rFonts w:ascii="Calibri" w:hAnsi="Calibri"/>
                <w:b w:val="0"/>
                <w:color w:val="1D2630"/>
                <w:sz w:val="19"/>
              </w:rPr>
              <w:t>450 k€ à 1 M€</w:t>
            </w:r>
          </w:p>
        </w:tc>
        <w:tc>
          <w:tcPr>
            <w:tcW w:type="dxa" w:w="3960"/>
            <w:vAlign w:val="top"/>
            <w:tcMar>
              <w:top w:w="80" w:type="dxa"/>
              <w:bottom w:w="80" w:type="dxa"/>
              <w:start w:w="120" w:type="dxa"/>
              <w:end w:w="120" w:type="dxa"/>
            </w:tcMar>
          </w:tcPr>
          <w:p>
            <w:pPr>
              <w:spacing w:before="0" w:after="40" w:line="240" w:lineRule="auto"/>
            </w:pPr>
            <w:r>
              <w:rPr>
                <w:rFonts w:ascii="Calibri" w:hAnsi="Calibri"/>
                <w:b w:val="0"/>
                <w:color w:val="1D2630"/>
                <w:sz w:val="19"/>
              </w:rPr>
              <w:t>Référencement actif et satisfaction sur première mission</w:t>
            </w:r>
          </w:p>
        </w:tc>
      </w:tr>
      <w:tr>
        <w:trPr>
          <w:cantSplit/>
        </w:trPr>
        <w:tc>
          <w:tcPr>
            <w:tcW w:type="dxa" w:w="1872"/>
            <w:vAlign w:val="top"/>
            <w:tcMar>
              <w:top w:w="80" w:type="dxa"/>
              <w:bottom w:w="80" w:type="dxa"/>
              <w:start w:w="120" w:type="dxa"/>
              <w:end w:w="120" w:type="dxa"/>
            </w:tcMar>
          </w:tcPr>
          <w:p>
            <w:pPr>
              <w:spacing w:before="0" w:after="40" w:line="240" w:lineRule="auto"/>
            </w:pPr>
            <w:r>
              <w:rPr>
                <w:rFonts w:ascii="Calibri" w:hAnsi="Calibri"/>
                <w:b/>
                <w:color w:val="1D2630"/>
                <w:sz w:val="19"/>
              </w:rPr>
              <w:t>Compte structurant</w:t>
            </w:r>
          </w:p>
        </w:tc>
        <w:tc>
          <w:tcPr>
            <w:tcW w:type="dxa" w:w="1440"/>
            <w:vAlign w:val="top"/>
            <w:tcMar>
              <w:top w:w="80" w:type="dxa"/>
              <w:bottom w:w="80" w:type="dxa"/>
              <w:start w:w="120" w:type="dxa"/>
              <w:end w:w="120" w:type="dxa"/>
            </w:tcMar>
          </w:tcPr>
          <w:p>
            <w:pPr>
              <w:spacing w:before="0" w:after="40" w:line="240" w:lineRule="auto"/>
            </w:pPr>
            <w:r>
              <w:rPr>
                <w:rFonts w:ascii="Calibri" w:hAnsi="Calibri"/>
                <w:b w:val="0"/>
                <w:color w:val="1D2630"/>
                <w:sz w:val="19"/>
              </w:rPr>
              <w:t>7 à 10</w:t>
            </w:r>
          </w:p>
        </w:tc>
        <w:tc>
          <w:tcPr>
            <w:tcW w:type="dxa" w:w="2088"/>
            <w:vAlign w:val="top"/>
            <w:tcMar>
              <w:top w:w="80" w:type="dxa"/>
              <w:bottom w:w="80" w:type="dxa"/>
              <w:start w:w="120" w:type="dxa"/>
              <w:end w:w="120" w:type="dxa"/>
            </w:tcMar>
          </w:tcPr>
          <w:p>
            <w:pPr>
              <w:spacing w:before="0" w:after="40" w:line="240" w:lineRule="auto"/>
            </w:pPr>
            <w:r>
              <w:rPr>
                <w:rFonts w:ascii="Calibri" w:hAnsi="Calibri"/>
                <w:b w:val="0"/>
                <w:color w:val="1D2630"/>
                <w:sz w:val="19"/>
              </w:rPr>
              <w:t>1 à 1,7 M€</w:t>
            </w:r>
          </w:p>
        </w:tc>
        <w:tc>
          <w:tcPr>
            <w:tcW w:type="dxa" w:w="3960"/>
            <w:vAlign w:val="top"/>
            <w:tcMar>
              <w:top w:w="80" w:type="dxa"/>
              <w:bottom w:w="80" w:type="dxa"/>
              <w:start w:w="120" w:type="dxa"/>
              <w:end w:w="120" w:type="dxa"/>
            </w:tcMar>
          </w:tcPr>
          <w:p>
            <w:pPr>
              <w:spacing w:before="0" w:after="40" w:line="240" w:lineRule="auto"/>
            </w:pPr>
            <w:r>
              <w:rPr>
                <w:rFonts w:ascii="Calibri" w:hAnsi="Calibri"/>
                <w:b w:val="0"/>
                <w:color w:val="1D2630"/>
                <w:sz w:val="19"/>
              </w:rPr>
              <w:t>Accès à plusieurs domaines/sites et renouvellement des missions</w:t>
            </w:r>
          </w:p>
        </w:tc>
      </w:tr>
    </w:tbl>
    <w:p>
      <w:pPr>
        <w:spacing w:after="0"/>
      </w:pPr>
    </w:p>
    <w:p>
      <w:pPr>
        <w:pStyle w:val="SmallNote"/>
      </w:pPr>
      <w:r>
        <w:t>Hypothèses Tilencia : 210 à 220 jours facturés par an et TJM moyen de 650 à 800 €. Ces montants ne constituent pas des budgets communiqués par Kuehne+Nagel.</w:t>
      </w:r>
    </w:p>
    <w:p>
      <w:pPr>
        <w:pStyle w:val="Heading1"/>
      </w:pPr>
      <w:r>
        <w:t>5. Cartographie des décideurs et circuit d'influence</w:t>
      </w:r>
    </w:p>
    <w:tbl>
      <w:tblPr>
        <w:tblStyle w:val="TableGrid"/>
        <w:tblW w:type="dxa" w:w="9360"/>
        <w:jc w:val="left"/>
        <w:tblLayout w:type="fixed"/>
        <w:tblLook w:firstColumn="1" w:firstRow="1" w:lastColumn="0" w:lastRow="0" w:noHBand="0" w:noVBand="1" w:val="04A0"/>
        <w:tblInd w:type="dxa" w:w="90"/>
      </w:tblPr>
      <w:tblGrid>
        <w:gridCol w:w="792"/>
        <w:gridCol w:w="1656"/>
        <w:gridCol w:w="2232"/>
        <w:gridCol w:w="1800"/>
        <w:gridCol w:w="2880"/>
      </w:tblGrid>
      <w:tr>
        <w:trPr>
          <w:tblHeader w:val="true"/>
          <w:cantSplit/>
        </w:trPr>
        <w:tc>
          <w:tcPr>
            <w:tcW w:type="dxa" w:w="792"/>
            <w:shd w:fill="E8EEF5"/>
            <w:tcMar>
              <w:top w:w="70" w:type="dxa"/>
              <w:bottom w:w="70" w:type="dxa"/>
              <w:start w:w="90" w:type="dxa"/>
              <w:end w:w="90" w:type="dxa"/>
            </w:tcMar>
          </w:tcPr>
          <w:p>
            <w:r>
              <w:rPr>
                <w:rFonts w:ascii="Calibri" w:hAnsi="Calibri"/>
                <w:b/>
                <w:color w:val="0B2545"/>
                <w:sz w:val="17"/>
              </w:rPr>
              <w:t>Priorité</w:t>
            </w:r>
          </w:p>
        </w:tc>
        <w:tc>
          <w:tcPr>
            <w:tcW w:type="dxa" w:w="1656"/>
            <w:shd w:fill="E8EEF5"/>
            <w:tcMar>
              <w:top w:w="70" w:type="dxa"/>
              <w:bottom w:w="70" w:type="dxa"/>
              <w:start w:w="90" w:type="dxa"/>
              <w:end w:w="90" w:type="dxa"/>
            </w:tcMar>
          </w:tcPr>
          <w:p>
            <w:r>
              <w:rPr>
                <w:rFonts w:ascii="Calibri" w:hAnsi="Calibri"/>
                <w:b/>
                <w:color w:val="0B2545"/>
                <w:sz w:val="17"/>
              </w:rPr>
              <w:t>Interlocuteur</w:t>
            </w:r>
          </w:p>
        </w:tc>
        <w:tc>
          <w:tcPr>
            <w:tcW w:type="dxa" w:w="2232"/>
            <w:shd w:fill="E8EEF5"/>
            <w:tcMar>
              <w:top w:w="70" w:type="dxa"/>
              <w:bottom w:w="70" w:type="dxa"/>
              <w:start w:w="90" w:type="dxa"/>
              <w:end w:w="90" w:type="dxa"/>
            </w:tcMar>
          </w:tcPr>
          <w:p>
            <w:r>
              <w:rPr>
                <w:rFonts w:ascii="Calibri" w:hAnsi="Calibri"/>
                <w:b/>
                <w:color w:val="0B2545"/>
                <w:sz w:val="17"/>
              </w:rPr>
              <w:t>Fonction</w:t>
            </w:r>
          </w:p>
        </w:tc>
        <w:tc>
          <w:tcPr>
            <w:tcW w:type="dxa" w:w="1800"/>
            <w:shd w:fill="E8EEF5"/>
            <w:tcMar>
              <w:top w:w="70" w:type="dxa"/>
              <w:bottom w:w="70" w:type="dxa"/>
              <w:start w:w="90" w:type="dxa"/>
              <w:end w:w="90" w:type="dxa"/>
            </w:tcMar>
          </w:tcPr>
          <w:p>
            <w:r>
              <w:rPr>
                <w:rFonts w:ascii="Calibri" w:hAnsi="Calibri"/>
                <w:b/>
                <w:color w:val="0B2545"/>
                <w:sz w:val="17"/>
              </w:rPr>
              <w:t>Canal / coordonnées</w:t>
            </w:r>
          </w:p>
        </w:tc>
        <w:tc>
          <w:tcPr>
            <w:tcW w:type="dxa" w:w="2880"/>
            <w:shd w:fill="E8EEF5"/>
            <w:tcMar>
              <w:top w:w="70" w:type="dxa"/>
              <w:bottom w:w="70" w:type="dxa"/>
              <w:start w:w="90" w:type="dxa"/>
              <w:end w:w="90" w:type="dxa"/>
            </w:tcMar>
          </w:tcPr>
          <w:p>
            <w:r>
              <w:rPr>
                <w:rFonts w:ascii="Calibri" w:hAnsi="Calibri"/>
                <w:b/>
                <w:color w:val="0B2545"/>
                <w:sz w:val="17"/>
              </w:rPr>
              <w:t>Angle d'approche</w:t>
            </w:r>
          </w:p>
        </w:tc>
      </w:tr>
      <w:tr>
        <w:trPr>
          <w:cantSplit/>
        </w:trPr>
        <w:tc>
          <w:tcPr>
            <w:tcW w:type="dxa" w:w="792"/>
            <w:tcMar>
              <w:top w:w="70" w:type="dxa"/>
              <w:bottom w:w="70" w:type="dxa"/>
              <w:start w:w="90" w:type="dxa"/>
              <w:end w:w="90" w:type="dxa"/>
            </w:tcMar>
          </w:tcPr>
          <w:p>
            <w:pPr>
              <w:spacing w:after="20" w:line="240" w:lineRule="auto"/>
            </w:pPr>
            <w:r>
              <w:rPr>
                <w:rFonts w:ascii="Calibri" w:hAnsi="Calibri"/>
                <w:b/>
                <w:color w:val="1D2630"/>
                <w:sz w:val="17"/>
              </w:rPr>
              <w:t>1</w:t>
            </w:r>
          </w:p>
        </w:tc>
        <w:tc>
          <w:tcPr>
            <w:tcW w:type="dxa" w:w="1656"/>
            <w:tcMar>
              <w:top w:w="70" w:type="dxa"/>
              <w:bottom w:w="70" w:type="dxa"/>
              <w:start w:w="90" w:type="dxa"/>
              <w:end w:w="90" w:type="dxa"/>
            </w:tcMar>
          </w:tcPr>
          <w:p>
            <w:pPr>
              <w:spacing w:after="20" w:line="240" w:lineRule="auto"/>
            </w:pPr>
            <w:hyperlink r:id="rId9">
              <w:r>
                <w:rPr>
                  <w:color w:val="2E74B5"/>
                  <w:u w:val="single"/>
                  <w:rFonts w:ascii="Calibri" w:hAnsi="Calibri"/>
                </w:rPr>
                <w:t>Bruno Mahier</w:t>
              </w:r>
            </w:hyperlink>
          </w:p>
        </w:tc>
        <w:tc>
          <w:tcPr>
            <w:tcW w:type="dxa" w:w="2232"/>
            <w:tcMar>
              <w:top w:w="70" w:type="dxa"/>
              <w:bottom w:w="70" w:type="dxa"/>
              <w:start w:w="90" w:type="dxa"/>
              <w:end w:w="90" w:type="dxa"/>
            </w:tcMar>
          </w:tcPr>
          <w:p>
            <w:pPr>
              <w:spacing w:after="20" w:line="240" w:lineRule="auto"/>
            </w:pPr>
            <w:r>
              <w:rPr>
                <w:rFonts w:ascii="Calibri" w:hAnsi="Calibri"/>
                <w:b w:val="0"/>
                <w:color w:val="1D2630"/>
                <w:sz w:val="17"/>
              </w:rPr>
              <w:t>IT Director France/Maghreb</w:t>
            </w:r>
          </w:p>
        </w:tc>
        <w:tc>
          <w:tcPr>
            <w:tcW w:type="dxa" w:w="1800"/>
            <w:tcMar>
              <w:top w:w="70" w:type="dxa"/>
              <w:bottom w:w="70" w:type="dxa"/>
              <w:start w:w="90" w:type="dxa"/>
              <w:end w:w="90" w:type="dxa"/>
            </w:tcMar>
          </w:tcPr>
          <w:p>
            <w:pPr>
              <w:spacing w:after="20" w:line="240" w:lineRule="auto"/>
            </w:pPr>
            <w:r>
              <w:rPr>
                <w:rFonts w:ascii="Calibri" w:hAnsi="Calibri"/>
                <w:color w:val="1D2630"/>
                <w:sz w:val="17"/>
              </w:rPr>
              <w:t>LinkedIn public</w:t>
              <w:br/>
            </w:r>
            <w:r>
              <w:rPr>
                <w:rFonts w:ascii="Calibri" w:hAnsi="Calibri"/>
                <w:color w:val="5B6573"/>
                <w:sz w:val="16"/>
              </w:rPr>
              <w:t>Email : non vérifié</w:t>
              <w:br/>
              <w:t>Téléphone : non identifié</w:t>
            </w:r>
          </w:p>
        </w:tc>
        <w:tc>
          <w:tcPr>
            <w:tcW w:type="dxa" w:w="2880"/>
            <w:tcMar>
              <w:top w:w="70" w:type="dxa"/>
              <w:bottom w:w="70" w:type="dxa"/>
              <w:start w:w="90" w:type="dxa"/>
              <w:end w:w="90" w:type="dxa"/>
            </w:tcMar>
          </w:tcPr>
          <w:p>
            <w:pPr>
              <w:spacing w:after="20" w:line="240" w:lineRule="auto"/>
            </w:pPr>
            <w:r>
              <w:rPr>
                <w:rFonts w:ascii="Calibri" w:hAnsi="Calibri"/>
                <w:b w:val="0"/>
                <w:color w:val="1D2630"/>
                <w:sz w:val="17"/>
              </w:rPr>
              <w:t>Priorités IT, calendrier 2026-2027 et besoins de renfort locaux.</w:t>
            </w:r>
          </w:p>
        </w:tc>
      </w:tr>
      <w:tr>
        <w:trPr>
          <w:cantSplit/>
        </w:trPr>
        <w:tc>
          <w:tcPr>
            <w:tcW w:type="dxa" w:w="792"/>
            <w:tcMar>
              <w:top w:w="70" w:type="dxa"/>
              <w:bottom w:w="70" w:type="dxa"/>
              <w:start w:w="90" w:type="dxa"/>
              <w:end w:w="90" w:type="dxa"/>
            </w:tcMar>
          </w:tcPr>
          <w:p>
            <w:pPr>
              <w:spacing w:after="20" w:line="240" w:lineRule="auto"/>
            </w:pPr>
            <w:r>
              <w:rPr>
                <w:rFonts w:ascii="Calibri" w:hAnsi="Calibri"/>
                <w:b/>
                <w:color w:val="1D2630"/>
                <w:sz w:val="17"/>
              </w:rPr>
              <w:t>2</w:t>
            </w:r>
          </w:p>
        </w:tc>
        <w:tc>
          <w:tcPr>
            <w:tcW w:type="dxa" w:w="1656"/>
            <w:tcMar>
              <w:top w:w="70" w:type="dxa"/>
              <w:bottom w:w="70" w:type="dxa"/>
              <w:start w:w="90" w:type="dxa"/>
              <w:end w:w="90" w:type="dxa"/>
            </w:tcMar>
          </w:tcPr>
          <w:p>
            <w:pPr>
              <w:spacing w:after="20" w:line="240" w:lineRule="auto"/>
            </w:pPr>
            <w:hyperlink r:id="rId10">
              <w:r>
                <w:rPr>
                  <w:color w:val="2E74B5"/>
                  <w:u w:val="single"/>
                  <w:rFonts w:ascii="Calibri" w:hAnsi="Calibri"/>
                </w:rPr>
                <w:t>Anne Courrier</w:t>
              </w:r>
            </w:hyperlink>
          </w:p>
        </w:tc>
        <w:tc>
          <w:tcPr>
            <w:tcW w:type="dxa" w:w="2232"/>
            <w:tcMar>
              <w:top w:w="70" w:type="dxa"/>
              <w:bottom w:w="70" w:type="dxa"/>
              <w:start w:w="90" w:type="dxa"/>
              <w:end w:w="90" w:type="dxa"/>
            </w:tcMar>
          </w:tcPr>
          <w:p>
            <w:pPr>
              <w:spacing w:after="20" w:line="240" w:lineRule="auto"/>
            </w:pPr>
            <w:r>
              <w:rPr>
                <w:rFonts w:ascii="Calibri" w:hAnsi="Calibri"/>
                <w:b w:val="0"/>
                <w:color w:val="1D2630"/>
                <w:sz w:val="17"/>
              </w:rPr>
              <w:t>Directrice Gouvernance IT France</w:t>
            </w:r>
          </w:p>
        </w:tc>
        <w:tc>
          <w:tcPr>
            <w:tcW w:type="dxa" w:w="1800"/>
            <w:tcMar>
              <w:top w:w="70" w:type="dxa"/>
              <w:bottom w:w="70" w:type="dxa"/>
              <w:start w:w="90" w:type="dxa"/>
              <w:end w:w="90" w:type="dxa"/>
            </w:tcMar>
          </w:tcPr>
          <w:p>
            <w:pPr>
              <w:spacing w:after="20" w:line="240" w:lineRule="auto"/>
            </w:pPr>
            <w:r>
              <w:rPr>
                <w:rFonts w:ascii="Calibri" w:hAnsi="Calibri"/>
                <w:color w:val="1D2630"/>
                <w:sz w:val="17"/>
              </w:rPr>
              <w:t>LinkedIn public</w:t>
              <w:br/>
            </w:r>
            <w:r>
              <w:rPr>
                <w:rFonts w:ascii="Calibri" w:hAnsi="Calibri"/>
                <w:color w:val="5B6573"/>
                <w:sz w:val="16"/>
              </w:rPr>
              <w:t>Email : non vérifié</w:t>
              <w:br/>
              <w:t>Téléphone : non identifié</w:t>
            </w:r>
          </w:p>
        </w:tc>
        <w:tc>
          <w:tcPr>
            <w:tcW w:type="dxa" w:w="2880"/>
            <w:tcMar>
              <w:top w:w="70" w:type="dxa"/>
              <w:bottom w:w="70" w:type="dxa"/>
              <w:start w:w="90" w:type="dxa"/>
              <w:end w:w="90" w:type="dxa"/>
            </w:tcMar>
          </w:tcPr>
          <w:p>
            <w:pPr>
              <w:spacing w:after="20" w:line="240" w:lineRule="auto"/>
            </w:pPr>
            <w:r>
              <w:rPr>
                <w:rFonts w:ascii="Calibri" w:hAnsi="Calibri"/>
                <w:b w:val="0"/>
                <w:color w:val="1D2630"/>
                <w:sz w:val="17"/>
              </w:rPr>
              <w:t>PMO, gouvernance, qualité, fournisseurs et performance IT.</w:t>
            </w:r>
          </w:p>
        </w:tc>
      </w:tr>
      <w:tr>
        <w:trPr>
          <w:cantSplit/>
        </w:trPr>
        <w:tc>
          <w:tcPr>
            <w:tcW w:type="dxa" w:w="792"/>
            <w:tcMar>
              <w:top w:w="70" w:type="dxa"/>
              <w:bottom w:w="70" w:type="dxa"/>
              <w:start w:w="90" w:type="dxa"/>
              <w:end w:w="90" w:type="dxa"/>
            </w:tcMar>
          </w:tcPr>
          <w:p>
            <w:pPr>
              <w:spacing w:after="20" w:line="240" w:lineRule="auto"/>
            </w:pPr>
            <w:r>
              <w:rPr>
                <w:rFonts w:ascii="Calibri" w:hAnsi="Calibri"/>
                <w:b/>
                <w:color w:val="1D2630"/>
                <w:sz w:val="17"/>
              </w:rPr>
              <w:t>3</w:t>
            </w:r>
          </w:p>
        </w:tc>
        <w:tc>
          <w:tcPr>
            <w:tcW w:type="dxa" w:w="1656"/>
            <w:tcMar>
              <w:top w:w="70" w:type="dxa"/>
              <w:bottom w:w="70" w:type="dxa"/>
              <w:start w:w="90" w:type="dxa"/>
              <w:end w:w="90" w:type="dxa"/>
            </w:tcMar>
          </w:tcPr>
          <w:p>
            <w:pPr>
              <w:spacing w:after="20" w:line="240" w:lineRule="auto"/>
            </w:pPr>
            <w:hyperlink r:id="rId11">
              <w:r>
                <w:rPr>
                  <w:color w:val="2E74B5"/>
                  <w:u w:val="single"/>
                  <w:rFonts w:ascii="Calibri" w:hAnsi="Calibri"/>
                </w:rPr>
                <w:t>Frédéric Dauny</w:t>
              </w:r>
            </w:hyperlink>
          </w:p>
        </w:tc>
        <w:tc>
          <w:tcPr>
            <w:tcW w:type="dxa" w:w="2232"/>
            <w:tcMar>
              <w:top w:w="70" w:type="dxa"/>
              <w:bottom w:w="70" w:type="dxa"/>
              <w:start w:w="90" w:type="dxa"/>
              <w:end w:w="90" w:type="dxa"/>
            </w:tcMar>
          </w:tcPr>
          <w:p>
            <w:pPr>
              <w:spacing w:after="20" w:line="240" w:lineRule="auto"/>
            </w:pPr>
            <w:r>
              <w:rPr>
                <w:rFonts w:ascii="Calibri" w:hAnsi="Calibri"/>
                <w:b w:val="0"/>
                <w:color w:val="1D2630"/>
                <w:sz w:val="17"/>
              </w:rPr>
              <w:t>Directeur Achats France</w:t>
            </w:r>
          </w:p>
        </w:tc>
        <w:tc>
          <w:tcPr>
            <w:tcW w:type="dxa" w:w="1800"/>
            <w:tcMar>
              <w:top w:w="70" w:type="dxa"/>
              <w:bottom w:w="70" w:type="dxa"/>
              <w:start w:w="90" w:type="dxa"/>
              <w:end w:w="90" w:type="dxa"/>
            </w:tcMar>
          </w:tcPr>
          <w:p>
            <w:pPr>
              <w:spacing w:after="20" w:line="240" w:lineRule="auto"/>
            </w:pPr>
            <w:r>
              <w:rPr>
                <w:rFonts w:ascii="Calibri" w:hAnsi="Calibri"/>
                <w:color w:val="1D2630"/>
                <w:sz w:val="17"/>
              </w:rPr>
              <w:t>LinkedIn public</w:t>
              <w:br/>
            </w:r>
            <w:r>
              <w:rPr>
                <w:rFonts w:ascii="Calibri" w:hAnsi="Calibri"/>
                <w:color w:val="5B6573"/>
                <w:sz w:val="16"/>
              </w:rPr>
              <w:t>Email : non vérifié</w:t>
              <w:br/>
              <w:t>Téléphone : non identifié</w:t>
            </w:r>
          </w:p>
        </w:tc>
        <w:tc>
          <w:tcPr>
            <w:tcW w:type="dxa" w:w="2880"/>
            <w:tcMar>
              <w:top w:w="70" w:type="dxa"/>
              <w:bottom w:w="70" w:type="dxa"/>
              <w:start w:w="90" w:type="dxa"/>
              <w:end w:w="90" w:type="dxa"/>
            </w:tcMar>
          </w:tcPr>
          <w:p>
            <w:pPr>
              <w:spacing w:after="20" w:line="240" w:lineRule="auto"/>
            </w:pPr>
            <w:r>
              <w:rPr>
                <w:rFonts w:ascii="Calibri" w:hAnsi="Calibri"/>
                <w:b w:val="0"/>
                <w:color w:val="1D2630"/>
                <w:sz w:val="17"/>
              </w:rPr>
              <w:t>Panel, référencement, prestations intellectuelles, TJM et conformité.</w:t>
            </w:r>
          </w:p>
        </w:tc>
      </w:tr>
      <w:tr>
        <w:trPr>
          <w:cantSplit/>
        </w:trPr>
        <w:tc>
          <w:tcPr>
            <w:tcW w:type="dxa" w:w="792"/>
            <w:tcMar>
              <w:top w:w="70" w:type="dxa"/>
              <w:bottom w:w="70" w:type="dxa"/>
              <w:start w:w="90" w:type="dxa"/>
              <w:end w:w="90" w:type="dxa"/>
            </w:tcMar>
          </w:tcPr>
          <w:p>
            <w:pPr>
              <w:spacing w:after="20" w:line="240" w:lineRule="auto"/>
            </w:pPr>
            <w:r>
              <w:rPr>
                <w:rFonts w:ascii="Calibri" w:hAnsi="Calibri"/>
                <w:b/>
                <w:color w:val="1D2630"/>
                <w:sz w:val="17"/>
              </w:rPr>
              <w:t>4</w:t>
            </w:r>
          </w:p>
        </w:tc>
        <w:tc>
          <w:tcPr>
            <w:tcW w:type="dxa" w:w="1656"/>
            <w:tcMar>
              <w:top w:w="70" w:type="dxa"/>
              <w:bottom w:w="70" w:type="dxa"/>
              <w:start w:w="90" w:type="dxa"/>
              <w:end w:w="90" w:type="dxa"/>
            </w:tcMar>
          </w:tcPr>
          <w:p>
            <w:pPr>
              <w:spacing w:after="20" w:line="240" w:lineRule="auto"/>
            </w:pPr>
            <w:hyperlink r:id="rId12">
              <w:r>
                <w:rPr>
                  <w:color w:val="2E74B5"/>
                  <w:u w:val="single"/>
                  <w:rFonts w:ascii="Calibri" w:hAnsi="Calibri"/>
                </w:rPr>
                <w:t>Valentin Couchut</w:t>
              </w:r>
            </w:hyperlink>
          </w:p>
        </w:tc>
        <w:tc>
          <w:tcPr>
            <w:tcW w:type="dxa" w:w="2232"/>
            <w:tcMar>
              <w:top w:w="70" w:type="dxa"/>
              <w:bottom w:w="70" w:type="dxa"/>
              <w:start w:w="90" w:type="dxa"/>
              <w:end w:w="90" w:type="dxa"/>
            </w:tcMar>
          </w:tcPr>
          <w:p>
            <w:pPr>
              <w:spacing w:after="20" w:line="240" w:lineRule="auto"/>
            </w:pPr>
            <w:r>
              <w:rPr>
                <w:rFonts w:ascii="Calibri" w:hAnsi="Calibri"/>
                <w:b w:val="0"/>
                <w:color w:val="1D2630"/>
                <w:sz w:val="17"/>
              </w:rPr>
              <w:t>Responsable Performance &amp; Qualité IT France</w:t>
            </w:r>
          </w:p>
        </w:tc>
        <w:tc>
          <w:tcPr>
            <w:tcW w:type="dxa" w:w="1800"/>
            <w:tcMar>
              <w:top w:w="70" w:type="dxa"/>
              <w:bottom w:w="70" w:type="dxa"/>
              <w:start w:w="90" w:type="dxa"/>
              <w:end w:w="90" w:type="dxa"/>
            </w:tcMar>
          </w:tcPr>
          <w:p>
            <w:pPr>
              <w:spacing w:after="20" w:line="240" w:lineRule="auto"/>
            </w:pPr>
            <w:r>
              <w:rPr>
                <w:rFonts w:ascii="Calibri" w:hAnsi="Calibri"/>
                <w:color w:val="1D2630"/>
                <w:sz w:val="17"/>
              </w:rPr>
              <w:t>LinkedIn public</w:t>
              <w:br/>
            </w:r>
            <w:r>
              <w:rPr>
                <w:rFonts w:ascii="Calibri" w:hAnsi="Calibri"/>
                <w:color w:val="5B6573"/>
                <w:sz w:val="16"/>
              </w:rPr>
              <w:t>Email : non vérifié</w:t>
              <w:br/>
              <w:t>Téléphone : non identifié</w:t>
            </w:r>
          </w:p>
        </w:tc>
        <w:tc>
          <w:tcPr>
            <w:tcW w:type="dxa" w:w="2880"/>
            <w:tcMar>
              <w:top w:w="70" w:type="dxa"/>
              <w:bottom w:w="70" w:type="dxa"/>
              <w:start w:w="90" w:type="dxa"/>
              <w:end w:w="90" w:type="dxa"/>
            </w:tcMar>
          </w:tcPr>
          <w:p>
            <w:pPr>
              <w:spacing w:after="20" w:line="240" w:lineRule="auto"/>
            </w:pPr>
            <w:r>
              <w:rPr>
                <w:rFonts w:ascii="Calibri" w:hAnsi="Calibri"/>
                <w:b w:val="0"/>
                <w:color w:val="1D2630"/>
                <w:sz w:val="17"/>
              </w:rPr>
              <w:t>KPI, ITSM, qualité de service et amélioration continue.</w:t>
            </w:r>
          </w:p>
        </w:tc>
      </w:tr>
      <w:tr>
        <w:trPr>
          <w:cantSplit/>
        </w:trPr>
        <w:tc>
          <w:tcPr>
            <w:tcW w:type="dxa" w:w="792"/>
            <w:tcMar>
              <w:top w:w="70" w:type="dxa"/>
              <w:bottom w:w="70" w:type="dxa"/>
              <w:start w:w="90" w:type="dxa"/>
              <w:end w:w="90" w:type="dxa"/>
            </w:tcMar>
          </w:tcPr>
          <w:p>
            <w:pPr>
              <w:spacing w:after="20" w:line="240" w:lineRule="auto"/>
            </w:pPr>
            <w:r>
              <w:rPr>
                <w:rFonts w:ascii="Calibri" w:hAnsi="Calibri"/>
                <w:b/>
                <w:color w:val="1D2630"/>
                <w:sz w:val="17"/>
              </w:rPr>
              <w:t>5</w:t>
            </w:r>
          </w:p>
        </w:tc>
        <w:tc>
          <w:tcPr>
            <w:tcW w:type="dxa" w:w="1656"/>
            <w:tcMar>
              <w:top w:w="70" w:type="dxa"/>
              <w:bottom w:w="70" w:type="dxa"/>
              <w:start w:w="90" w:type="dxa"/>
              <w:end w:w="90" w:type="dxa"/>
            </w:tcMar>
          </w:tcPr>
          <w:p>
            <w:pPr>
              <w:spacing w:after="20" w:line="240" w:lineRule="auto"/>
            </w:pPr>
            <w:hyperlink r:id="rId13">
              <w:r>
                <w:rPr>
                  <w:color w:val="2E74B5"/>
                  <w:u w:val="single"/>
                  <w:rFonts w:ascii="Calibri" w:hAnsi="Calibri"/>
                </w:rPr>
                <w:t>Julie Chevallier</w:t>
              </w:r>
            </w:hyperlink>
          </w:p>
        </w:tc>
        <w:tc>
          <w:tcPr>
            <w:tcW w:type="dxa" w:w="2232"/>
            <w:tcMar>
              <w:top w:w="70" w:type="dxa"/>
              <w:bottom w:w="70" w:type="dxa"/>
              <w:start w:w="90" w:type="dxa"/>
              <w:end w:w="90" w:type="dxa"/>
            </w:tcMar>
          </w:tcPr>
          <w:p>
            <w:pPr>
              <w:spacing w:after="20" w:line="240" w:lineRule="auto"/>
            </w:pPr>
            <w:r>
              <w:rPr>
                <w:rFonts w:ascii="Calibri" w:hAnsi="Calibri"/>
                <w:b w:val="0"/>
                <w:color w:val="1D2630"/>
                <w:sz w:val="17"/>
              </w:rPr>
              <w:t>Global Head of IT Procurement &amp; Outsourced Categories</w:t>
            </w:r>
          </w:p>
        </w:tc>
        <w:tc>
          <w:tcPr>
            <w:tcW w:type="dxa" w:w="1800"/>
            <w:tcMar>
              <w:top w:w="70" w:type="dxa"/>
              <w:bottom w:w="70" w:type="dxa"/>
              <w:start w:w="90" w:type="dxa"/>
              <w:end w:w="90" w:type="dxa"/>
            </w:tcMar>
          </w:tcPr>
          <w:p>
            <w:pPr>
              <w:spacing w:after="20" w:line="240" w:lineRule="auto"/>
            </w:pPr>
            <w:r>
              <w:rPr>
                <w:rFonts w:ascii="Calibri" w:hAnsi="Calibri"/>
                <w:color w:val="1D2630"/>
                <w:sz w:val="17"/>
              </w:rPr>
              <w:t>LinkedIn public</w:t>
              <w:br/>
            </w:r>
            <w:r>
              <w:rPr>
                <w:rFonts w:ascii="Calibri" w:hAnsi="Calibri"/>
                <w:color w:val="5B6573"/>
                <w:sz w:val="16"/>
              </w:rPr>
              <w:t>Email : non vérifié</w:t>
              <w:br/>
              <w:t>Téléphone : non identifié</w:t>
            </w:r>
          </w:p>
        </w:tc>
        <w:tc>
          <w:tcPr>
            <w:tcW w:type="dxa" w:w="2880"/>
            <w:tcMar>
              <w:top w:w="70" w:type="dxa"/>
              <w:bottom w:w="70" w:type="dxa"/>
              <w:start w:w="90" w:type="dxa"/>
              <w:end w:w="90" w:type="dxa"/>
            </w:tcMar>
          </w:tcPr>
          <w:p>
            <w:pPr>
              <w:spacing w:after="20" w:line="240" w:lineRule="auto"/>
            </w:pPr>
            <w:r>
              <w:rPr>
                <w:rFonts w:ascii="Calibri" w:hAnsi="Calibri"/>
                <w:b w:val="0"/>
                <w:color w:val="1D2630"/>
                <w:sz w:val="17"/>
              </w:rPr>
              <w:t>Catégories IT externalisées et validation achats globale.</w:t>
            </w:r>
          </w:p>
        </w:tc>
      </w:tr>
      <w:tr>
        <w:trPr>
          <w:cantSplit/>
        </w:trPr>
        <w:tc>
          <w:tcPr>
            <w:tcW w:type="dxa" w:w="792"/>
            <w:tcMar>
              <w:top w:w="70" w:type="dxa"/>
              <w:bottom w:w="70" w:type="dxa"/>
              <w:start w:w="90" w:type="dxa"/>
              <w:end w:w="90" w:type="dxa"/>
            </w:tcMar>
          </w:tcPr>
          <w:p>
            <w:pPr>
              <w:spacing w:after="20" w:line="240" w:lineRule="auto"/>
            </w:pPr>
            <w:r>
              <w:rPr>
                <w:rFonts w:ascii="Calibri" w:hAnsi="Calibri"/>
                <w:b/>
                <w:color w:val="1D2630"/>
                <w:sz w:val="17"/>
              </w:rPr>
              <w:t>6</w:t>
            </w:r>
          </w:p>
        </w:tc>
        <w:tc>
          <w:tcPr>
            <w:tcW w:type="dxa" w:w="1656"/>
            <w:tcMar>
              <w:top w:w="70" w:type="dxa"/>
              <w:bottom w:w="70" w:type="dxa"/>
              <w:start w:w="90" w:type="dxa"/>
              <w:end w:w="90" w:type="dxa"/>
            </w:tcMar>
          </w:tcPr>
          <w:p>
            <w:pPr>
              <w:spacing w:after="20" w:line="240" w:lineRule="auto"/>
            </w:pPr>
            <w:hyperlink r:id="rId14">
              <w:r>
                <w:rPr>
                  <w:color w:val="2E74B5"/>
                  <w:u w:val="single"/>
                  <w:rFonts w:ascii="Calibri" w:hAnsi="Calibri"/>
                </w:rPr>
                <w:t>Quentin Janin</w:t>
              </w:r>
            </w:hyperlink>
          </w:p>
        </w:tc>
        <w:tc>
          <w:tcPr>
            <w:tcW w:type="dxa" w:w="2232"/>
            <w:tcMar>
              <w:top w:w="70" w:type="dxa"/>
              <w:bottom w:w="70" w:type="dxa"/>
              <w:start w:w="90" w:type="dxa"/>
              <w:end w:w="90" w:type="dxa"/>
            </w:tcMar>
          </w:tcPr>
          <w:p>
            <w:pPr>
              <w:spacing w:after="20" w:line="240" w:lineRule="auto"/>
            </w:pPr>
            <w:r>
              <w:rPr>
                <w:rFonts w:ascii="Calibri" w:hAnsi="Calibri"/>
                <w:b w:val="0"/>
                <w:color w:val="1D2630"/>
                <w:sz w:val="17"/>
              </w:rPr>
              <w:t>Chef de projet EDI et Relation Client</w:t>
            </w:r>
          </w:p>
        </w:tc>
        <w:tc>
          <w:tcPr>
            <w:tcW w:type="dxa" w:w="1800"/>
            <w:tcMar>
              <w:top w:w="70" w:type="dxa"/>
              <w:bottom w:w="70" w:type="dxa"/>
              <w:start w:w="90" w:type="dxa"/>
              <w:end w:w="90" w:type="dxa"/>
            </w:tcMar>
          </w:tcPr>
          <w:p>
            <w:pPr>
              <w:spacing w:after="20" w:line="240" w:lineRule="auto"/>
            </w:pPr>
            <w:r>
              <w:rPr>
                <w:rFonts w:ascii="Calibri" w:hAnsi="Calibri"/>
                <w:color w:val="1D2630"/>
                <w:sz w:val="17"/>
              </w:rPr>
              <w:t>LinkedIn public</w:t>
              <w:br/>
            </w:r>
            <w:r>
              <w:rPr>
                <w:rFonts w:ascii="Calibri" w:hAnsi="Calibri"/>
                <w:color w:val="5B6573"/>
                <w:sz w:val="16"/>
              </w:rPr>
              <w:t>Email : non vérifié</w:t>
              <w:br/>
              <w:t>Téléphone : non identifié</w:t>
            </w:r>
          </w:p>
        </w:tc>
        <w:tc>
          <w:tcPr>
            <w:tcW w:type="dxa" w:w="2880"/>
            <w:tcMar>
              <w:top w:w="70" w:type="dxa"/>
              <w:bottom w:w="70" w:type="dxa"/>
              <w:start w:w="90" w:type="dxa"/>
              <w:end w:w="90" w:type="dxa"/>
            </w:tcMar>
          </w:tcPr>
          <w:p>
            <w:pPr>
              <w:spacing w:after="20" w:line="240" w:lineRule="auto"/>
            </w:pPr>
            <w:r>
              <w:rPr>
                <w:rFonts w:ascii="Calibri" w:hAnsi="Calibri"/>
                <w:b w:val="0"/>
                <w:color w:val="1D2630"/>
                <w:sz w:val="17"/>
              </w:rPr>
              <w:t>EDI, intégration client et besoins opérationnels concrets.</w:t>
            </w:r>
          </w:p>
        </w:tc>
      </w:tr>
      <w:tr>
        <w:trPr>
          <w:cantSplit/>
        </w:trPr>
        <w:tc>
          <w:tcPr>
            <w:tcW w:type="dxa" w:w="792"/>
            <w:tcMar>
              <w:top w:w="70" w:type="dxa"/>
              <w:bottom w:w="70" w:type="dxa"/>
              <w:start w:w="90" w:type="dxa"/>
              <w:end w:w="90" w:type="dxa"/>
            </w:tcMar>
          </w:tcPr>
          <w:p>
            <w:pPr>
              <w:spacing w:after="20" w:line="240" w:lineRule="auto"/>
            </w:pPr>
            <w:r>
              <w:rPr>
                <w:rFonts w:ascii="Calibri" w:hAnsi="Calibri"/>
                <w:b/>
                <w:color w:val="1D2630"/>
                <w:sz w:val="17"/>
              </w:rPr>
              <w:t>7</w:t>
            </w:r>
          </w:p>
        </w:tc>
        <w:tc>
          <w:tcPr>
            <w:tcW w:type="dxa" w:w="1656"/>
            <w:tcMar>
              <w:top w:w="70" w:type="dxa"/>
              <w:bottom w:w="70" w:type="dxa"/>
              <w:start w:w="90" w:type="dxa"/>
              <w:end w:w="90" w:type="dxa"/>
            </w:tcMar>
          </w:tcPr>
          <w:p>
            <w:pPr>
              <w:spacing w:after="20" w:line="240" w:lineRule="auto"/>
            </w:pPr>
            <w:hyperlink r:id="rId15">
              <w:r>
                <w:rPr>
                  <w:color w:val="2E74B5"/>
                  <w:u w:val="single"/>
                  <w:rFonts w:ascii="Calibri" w:hAnsi="Calibri"/>
                </w:rPr>
                <w:t>Léo Laguerre</w:t>
              </w:r>
            </w:hyperlink>
          </w:p>
        </w:tc>
        <w:tc>
          <w:tcPr>
            <w:tcW w:type="dxa" w:w="2232"/>
            <w:tcMar>
              <w:top w:w="70" w:type="dxa"/>
              <w:bottom w:w="70" w:type="dxa"/>
              <w:start w:w="90" w:type="dxa"/>
              <w:end w:w="90" w:type="dxa"/>
            </w:tcMar>
          </w:tcPr>
          <w:p>
            <w:pPr>
              <w:spacing w:after="20" w:line="240" w:lineRule="auto"/>
            </w:pPr>
            <w:r>
              <w:rPr>
                <w:rFonts w:ascii="Calibri" w:hAnsi="Calibri"/>
                <w:b w:val="0"/>
                <w:color w:val="1D2630"/>
                <w:sz w:val="17"/>
              </w:rPr>
              <w:t>Directeur Bureau d'Études et Réengineering</w:t>
            </w:r>
          </w:p>
        </w:tc>
        <w:tc>
          <w:tcPr>
            <w:tcW w:type="dxa" w:w="1800"/>
            <w:tcMar>
              <w:top w:w="70" w:type="dxa"/>
              <w:bottom w:w="70" w:type="dxa"/>
              <w:start w:w="90" w:type="dxa"/>
              <w:end w:w="90" w:type="dxa"/>
            </w:tcMar>
          </w:tcPr>
          <w:p>
            <w:pPr>
              <w:spacing w:after="20" w:line="240" w:lineRule="auto"/>
            </w:pPr>
            <w:r>
              <w:rPr>
                <w:rFonts w:ascii="Calibri" w:hAnsi="Calibri"/>
                <w:color w:val="1D2630"/>
                <w:sz w:val="17"/>
              </w:rPr>
              <w:t>LinkedIn public</w:t>
              <w:br/>
            </w:r>
            <w:r>
              <w:rPr>
                <w:rFonts w:ascii="Calibri" w:hAnsi="Calibri"/>
                <w:color w:val="5B6573"/>
                <w:sz w:val="16"/>
              </w:rPr>
              <w:t>Email : non vérifié</w:t>
              <w:br/>
              <w:t>Téléphone : non identifié</w:t>
            </w:r>
          </w:p>
        </w:tc>
        <w:tc>
          <w:tcPr>
            <w:tcW w:type="dxa" w:w="2880"/>
            <w:tcMar>
              <w:top w:w="70" w:type="dxa"/>
              <w:bottom w:w="70" w:type="dxa"/>
              <w:start w:w="90" w:type="dxa"/>
              <w:end w:w="90" w:type="dxa"/>
            </w:tcMar>
          </w:tcPr>
          <w:p>
            <w:pPr>
              <w:spacing w:after="20" w:line="240" w:lineRule="auto"/>
            </w:pPr>
            <w:r>
              <w:rPr>
                <w:rFonts w:ascii="Calibri" w:hAnsi="Calibri"/>
                <w:b w:val="0"/>
                <w:color w:val="1D2630"/>
                <w:sz w:val="17"/>
              </w:rPr>
              <w:t>Automatisation, performance Road et transformation des processus.</w:t>
            </w:r>
          </w:p>
        </w:tc>
      </w:tr>
      <w:tr>
        <w:trPr>
          <w:cantSplit/>
        </w:trPr>
        <w:tc>
          <w:tcPr>
            <w:tcW w:type="dxa" w:w="792"/>
            <w:tcMar>
              <w:top w:w="70" w:type="dxa"/>
              <w:bottom w:w="70" w:type="dxa"/>
              <w:start w:w="90" w:type="dxa"/>
              <w:end w:w="90" w:type="dxa"/>
            </w:tcMar>
          </w:tcPr>
          <w:p>
            <w:pPr>
              <w:spacing w:after="20" w:line="240" w:lineRule="auto"/>
            </w:pPr>
            <w:r>
              <w:rPr>
                <w:rFonts w:ascii="Calibri" w:hAnsi="Calibri"/>
                <w:b/>
                <w:color w:val="1D2630"/>
                <w:sz w:val="17"/>
              </w:rPr>
              <w:t>Sponsor</w:t>
            </w:r>
          </w:p>
        </w:tc>
        <w:tc>
          <w:tcPr>
            <w:tcW w:type="dxa" w:w="1656"/>
            <w:tcMar>
              <w:top w:w="70" w:type="dxa"/>
              <w:bottom w:w="70" w:type="dxa"/>
              <w:start w:w="90" w:type="dxa"/>
              <w:end w:w="90" w:type="dxa"/>
            </w:tcMar>
          </w:tcPr>
          <w:p>
            <w:pPr>
              <w:spacing w:after="20" w:line="240" w:lineRule="auto"/>
            </w:pPr>
            <w:hyperlink r:id="rId16">
              <w:r>
                <w:rPr>
                  <w:color w:val="2E74B5"/>
                  <w:u w:val="single"/>
                  <w:rFonts w:ascii="Calibri" w:hAnsi="Calibri"/>
                </w:rPr>
                <w:t>Guillaume Péard</w:t>
              </w:r>
            </w:hyperlink>
          </w:p>
        </w:tc>
        <w:tc>
          <w:tcPr>
            <w:tcW w:type="dxa" w:w="2232"/>
            <w:tcMar>
              <w:top w:w="70" w:type="dxa"/>
              <w:bottom w:w="70" w:type="dxa"/>
              <w:start w:w="90" w:type="dxa"/>
              <w:end w:w="90" w:type="dxa"/>
            </w:tcMar>
          </w:tcPr>
          <w:p>
            <w:pPr>
              <w:spacing w:after="20" w:line="240" w:lineRule="auto"/>
            </w:pPr>
            <w:r>
              <w:rPr>
                <w:rFonts w:ascii="Calibri" w:hAnsi="Calibri"/>
                <w:b w:val="0"/>
                <w:color w:val="1D2630"/>
                <w:sz w:val="17"/>
              </w:rPr>
              <w:t>Président France et Maghreb</w:t>
            </w:r>
          </w:p>
        </w:tc>
        <w:tc>
          <w:tcPr>
            <w:tcW w:type="dxa" w:w="1800"/>
            <w:tcMar>
              <w:top w:w="70" w:type="dxa"/>
              <w:bottom w:w="70" w:type="dxa"/>
              <w:start w:w="90" w:type="dxa"/>
              <w:end w:w="90" w:type="dxa"/>
            </w:tcMar>
          </w:tcPr>
          <w:p>
            <w:pPr>
              <w:spacing w:after="20" w:line="240" w:lineRule="auto"/>
            </w:pPr>
            <w:r>
              <w:rPr>
                <w:rFonts w:ascii="Calibri" w:hAnsi="Calibri"/>
                <w:color w:val="1D2630"/>
                <w:sz w:val="17"/>
              </w:rPr>
              <w:t>LinkedIn public</w:t>
              <w:br/>
            </w:r>
            <w:r>
              <w:rPr>
                <w:rFonts w:ascii="Calibri" w:hAnsi="Calibri"/>
                <w:color w:val="5B6573"/>
                <w:sz w:val="16"/>
              </w:rPr>
              <w:t>Email : non vérifié</w:t>
              <w:br/>
              <w:t>Téléphone : non identifié</w:t>
            </w:r>
          </w:p>
        </w:tc>
        <w:tc>
          <w:tcPr>
            <w:tcW w:type="dxa" w:w="2880"/>
            <w:tcMar>
              <w:top w:w="70" w:type="dxa"/>
              <w:bottom w:w="70" w:type="dxa"/>
              <w:start w:w="90" w:type="dxa"/>
              <w:end w:w="90" w:type="dxa"/>
            </w:tcMar>
          </w:tcPr>
          <w:p>
            <w:pPr>
              <w:spacing w:after="20" w:line="240" w:lineRule="auto"/>
            </w:pPr>
            <w:r>
              <w:rPr>
                <w:rFonts w:ascii="Calibri" w:hAnsi="Calibri"/>
                <w:b w:val="0"/>
                <w:color w:val="1D2630"/>
                <w:sz w:val="17"/>
              </w:rPr>
              <w:t>Sponsor exécutif après validation d'un cas d'usage concret.</w:t>
            </w:r>
          </w:p>
        </w:tc>
      </w:tr>
      <w:tr>
        <w:trPr>
          <w:cantSplit/>
        </w:trPr>
        <w:tc>
          <w:tcPr>
            <w:tcW w:type="dxa" w:w="792"/>
            <w:tcMar>
              <w:top w:w="70" w:type="dxa"/>
              <w:bottom w:w="70" w:type="dxa"/>
              <w:start w:w="90" w:type="dxa"/>
              <w:end w:w="90" w:type="dxa"/>
            </w:tcMar>
          </w:tcPr>
          <w:p>
            <w:pPr>
              <w:spacing w:after="20" w:line="240" w:lineRule="auto"/>
            </w:pPr>
            <w:r>
              <w:rPr>
                <w:rFonts w:ascii="Calibri" w:hAnsi="Calibri"/>
                <w:b/>
                <w:color w:val="1D2630"/>
                <w:sz w:val="17"/>
              </w:rPr>
              <w:t>Finance</w:t>
            </w:r>
          </w:p>
        </w:tc>
        <w:tc>
          <w:tcPr>
            <w:tcW w:type="dxa" w:w="1656"/>
            <w:tcMar>
              <w:top w:w="70" w:type="dxa"/>
              <w:bottom w:w="70" w:type="dxa"/>
              <w:start w:w="90" w:type="dxa"/>
              <w:end w:w="90" w:type="dxa"/>
            </w:tcMar>
          </w:tcPr>
          <w:p>
            <w:pPr>
              <w:spacing w:after="20" w:line="240" w:lineRule="auto"/>
            </w:pPr>
            <w:hyperlink r:id="rId17">
              <w:r>
                <w:rPr>
                  <w:color w:val="2E74B5"/>
                  <w:u w:val="single"/>
                  <w:rFonts w:ascii="Calibri" w:hAnsi="Calibri"/>
                </w:rPr>
                <w:t>Yevgen Derkach</w:t>
              </w:r>
            </w:hyperlink>
          </w:p>
        </w:tc>
        <w:tc>
          <w:tcPr>
            <w:tcW w:type="dxa" w:w="2232"/>
            <w:tcMar>
              <w:top w:w="70" w:type="dxa"/>
              <w:bottom w:w="70" w:type="dxa"/>
              <w:start w:w="90" w:type="dxa"/>
              <w:end w:w="90" w:type="dxa"/>
            </w:tcMar>
          </w:tcPr>
          <w:p>
            <w:pPr>
              <w:spacing w:after="20" w:line="240" w:lineRule="auto"/>
            </w:pPr>
            <w:r>
              <w:rPr>
                <w:rFonts w:ascii="Calibri" w:hAnsi="Calibri"/>
                <w:b w:val="0"/>
                <w:color w:val="1D2630"/>
                <w:sz w:val="17"/>
              </w:rPr>
              <w:t>CFO France et Maghreb</w:t>
            </w:r>
          </w:p>
        </w:tc>
        <w:tc>
          <w:tcPr>
            <w:tcW w:type="dxa" w:w="1800"/>
            <w:tcMar>
              <w:top w:w="70" w:type="dxa"/>
              <w:bottom w:w="70" w:type="dxa"/>
              <w:start w:w="90" w:type="dxa"/>
              <w:end w:w="90" w:type="dxa"/>
            </w:tcMar>
          </w:tcPr>
          <w:p>
            <w:pPr>
              <w:spacing w:after="20" w:line="240" w:lineRule="auto"/>
            </w:pPr>
            <w:r>
              <w:rPr>
                <w:rFonts w:ascii="Calibri" w:hAnsi="Calibri"/>
                <w:color w:val="1D2630"/>
                <w:sz w:val="17"/>
              </w:rPr>
              <w:t>LinkedIn public</w:t>
              <w:br/>
            </w:r>
            <w:r>
              <w:rPr>
                <w:rFonts w:ascii="Calibri" w:hAnsi="Calibri"/>
                <w:color w:val="5B6573"/>
                <w:sz w:val="16"/>
              </w:rPr>
              <w:t>Email : non vérifié</w:t>
              <w:br/>
              <w:t>Téléphone : non identifié</w:t>
            </w:r>
          </w:p>
        </w:tc>
        <w:tc>
          <w:tcPr>
            <w:tcW w:type="dxa" w:w="2880"/>
            <w:tcMar>
              <w:top w:w="70" w:type="dxa"/>
              <w:bottom w:w="70" w:type="dxa"/>
              <w:start w:w="90" w:type="dxa"/>
              <w:end w:w="90" w:type="dxa"/>
            </w:tcMar>
          </w:tcPr>
          <w:p>
            <w:pPr>
              <w:spacing w:after="20" w:line="240" w:lineRule="auto"/>
            </w:pPr>
            <w:r>
              <w:rPr>
                <w:rFonts w:ascii="Calibri" w:hAnsi="Calibri"/>
                <w:b w:val="0"/>
                <w:color w:val="1D2630"/>
                <w:sz w:val="17"/>
              </w:rPr>
              <w:t>ROI, productivité, maîtrise des coûts et transformation finance.</w:t>
            </w:r>
          </w:p>
        </w:tc>
      </w:tr>
    </w:tbl>
    <w:p>
      <w:pPr>
        <w:spacing w:after="0"/>
      </w:pPr>
    </w:p>
    <w:p>
      <w:pPr>
        <w:pStyle w:val="Heading2"/>
      </w:pPr>
      <w:r>
        <w:t>5.1 Circuit de décision probable</w:t>
      </w:r>
    </w:p>
    <w:p>
      <w:pPr>
        <w:pStyle w:val="ListNumber"/>
      </w:pPr>
      <w:r>
        <w:rPr>
          <w:rFonts w:ascii="Calibri" w:hAnsi="Calibri"/>
          <w:color w:val="1D2630"/>
        </w:rPr>
        <w:t>Le métier ou l'IT France qualifie le besoin et accepte le principe d'un renfort externe.</w:t>
      </w:r>
    </w:p>
    <w:p>
      <w:pPr>
        <w:pStyle w:val="ListNumber"/>
      </w:pPr>
      <w:r>
        <w:rPr>
          <w:rFonts w:ascii="Calibri" w:hAnsi="Calibri"/>
          <w:color w:val="1D2630"/>
        </w:rPr>
        <w:t>La Gouvernance IT vérifie l'alignement, le budget, la qualité et le mode de pilotage.</w:t>
      </w:r>
    </w:p>
    <w:p>
      <w:pPr>
        <w:pStyle w:val="ListNumber"/>
      </w:pPr>
      <w:r>
        <w:rPr>
          <w:rFonts w:ascii="Calibri" w:hAnsi="Calibri"/>
          <w:color w:val="1D2630"/>
        </w:rPr>
        <w:t>Les Achats France confirment le panel, la grille tarifaire et le processus de référencement.</w:t>
      </w:r>
    </w:p>
    <w:p>
      <w:pPr>
        <w:pStyle w:val="ListNumber"/>
      </w:pPr>
      <w:r>
        <w:rPr>
          <w:rFonts w:ascii="Calibri" w:hAnsi="Calibri"/>
          <w:color w:val="1D2630"/>
        </w:rPr>
        <w:t>Les Achats IT globaux peuvent valider la catégorie, le fournisseur ou le contrat cadre.</w:t>
      </w:r>
    </w:p>
    <w:p>
      <w:pPr>
        <w:pStyle w:val="ListNumber"/>
      </w:pPr>
      <w:r>
        <w:rPr>
          <w:rFonts w:ascii="Calibri" w:hAnsi="Calibri"/>
          <w:color w:val="1D2630"/>
        </w:rPr>
        <w:t>La commande est déclenchée via le processus fournisseur et le responsable opérationnel pilote la mission.</w:t>
      </w:r>
    </w:p>
    <w:p>
      <w:pPr>
        <w:pStyle w:val="Heading2"/>
      </w:pPr>
      <w:r>
        <w:t>5.2 Ordre d'approche recommandé</w:t>
      </w:r>
    </w:p>
    <w:p>
      <w:r>
        <w:rPr>
          <w:rFonts w:ascii="Calibri" w:hAnsi="Calibri"/>
          <w:color w:val="1D2630"/>
        </w:rPr>
        <w:t>Commencer par Bruno Mahier ou Anne Courrier. Utiliser un angle centré sur les transformations WMS, EDI et data. Solliciter Frédéric Dauny uniquement après avoir identifié un besoin, un sponsor ou un projet concret. Guillaume Péard doit être abordé comme sponsor potentiel, non comme première porte d'entrée.</w:t>
      </w:r>
    </w:p>
    <w:p>
      <w:pPr>
        <w:pStyle w:val="Heading1"/>
      </w:pPr>
      <w:r>
        <w:t>6. Profils à constituer et à adresser</w:t>
      </w:r>
    </w:p>
    <w:tbl>
      <w:tblPr>
        <w:tblStyle w:val="TableGrid"/>
        <w:tblW w:type="dxa" w:w="9360"/>
        <w:jc w:val="left"/>
        <w:tblLayout w:type="fixed"/>
        <w:tblLook w:firstColumn="1" w:firstRow="1" w:lastColumn="0" w:lastRow="0" w:noHBand="0" w:noVBand="1" w:val="04A0"/>
        <w:tblInd w:type="dxa" w:w="120"/>
      </w:tblPr>
      <w:tblGrid>
        <w:gridCol w:w="2376"/>
        <w:gridCol w:w="3384"/>
        <w:gridCol w:w="936"/>
        <w:gridCol w:w="1656"/>
        <w:gridCol w:w="1008"/>
      </w:tblGrid>
      <w:tr>
        <w:trPr>
          <w:tblHeader w:val="true"/>
          <w:cantSplit/>
        </w:trPr>
        <w:tc>
          <w:tcPr>
            <w:tcW w:type="dxa" w:w="2376"/>
            <w:shd w:fill="F2F4F7"/>
            <w:vAlign w:val="center"/>
            <w:tcMar>
              <w:top w:w="80" w:type="dxa"/>
              <w:bottom w:w="80" w:type="dxa"/>
              <w:start w:w="120" w:type="dxa"/>
              <w:end w:w="120" w:type="dxa"/>
            </w:tcMar>
          </w:tcPr>
          <w:p>
            <w:pPr>
              <w:spacing w:before="20" w:after="20"/>
            </w:pPr>
            <w:r>
              <w:rPr>
                <w:rFonts w:ascii="Calibri" w:hAnsi="Calibri"/>
                <w:b/>
                <w:color w:val="0B2545"/>
                <w:sz w:val="16"/>
              </w:rPr>
              <w:t>Intitulé</w:t>
            </w:r>
          </w:p>
        </w:tc>
        <w:tc>
          <w:tcPr>
            <w:tcW w:type="dxa" w:w="3384"/>
            <w:shd w:fill="F2F4F7"/>
            <w:vAlign w:val="center"/>
            <w:tcMar>
              <w:top w:w="80" w:type="dxa"/>
              <w:bottom w:w="80" w:type="dxa"/>
              <w:start w:w="120" w:type="dxa"/>
              <w:end w:w="120" w:type="dxa"/>
            </w:tcMar>
          </w:tcPr>
          <w:p>
            <w:pPr>
              <w:spacing w:before="20" w:after="20"/>
            </w:pPr>
            <w:r>
              <w:rPr>
                <w:rFonts w:ascii="Calibri" w:hAnsi="Calibri"/>
                <w:b/>
                <w:color w:val="0B2545"/>
                <w:sz w:val="16"/>
              </w:rPr>
              <w:t>Compétences clés</w:t>
            </w:r>
          </w:p>
        </w:tc>
        <w:tc>
          <w:tcPr>
            <w:tcW w:type="dxa" w:w="936"/>
            <w:shd w:fill="F2F4F7"/>
            <w:vAlign w:val="center"/>
            <w:tcMar>
              <w:top w:w="80" w:type="dxa"/>
              <w:bottom w:w="80" w:type="dxa"/>
              <w:start w:w="120" w:type="dxa"/>
              <w:end w:w="120" w:type="dxa"/>
            </w:tcMar>
          </w:tcPr>
          <w:p>
            <w:pPr>
              <w:spacing w:before="20" w:after="20"/>
            </w:pPr>
            <w:r>
              <w:rPr>
                <w:rFonts w:ascii="Calibri" w:hAnsi="Calibri"/>
                <w:b/>
                <w:color w:val="0B2545"/>
                <w:sz w:val="16"/>
              </w:rPr>
              <w:t>Exp.</w:t>
            </w:r>
          </w:p>
        </w:tc>
        <w:tc>
          <w:tcPr>
            <w:tcW w:type="dxa" w:w="1656"/>
            <w:shd w:fill="F2F4F7"/>
            <w:vAlign w:val="center"/>
            <w:tcMar>
              <w:top w:w="80" w:type="dxa"/>
              <w:bottom w:w="80" w:type="dxa"/>
              <w:start w:w="120" w:type="dxa"/>
              <w:end w:w="120" w:type="dxa"/>
            </w:tcMar>
          </w:tcPr>
          <w:p>
            <w:pPr>
              <w:spacing w:before="20" w:after="20"/>
            </w:pPr>
            <w:r>
              <w:rPr>
                <w:rFonts w:ascii="Calibri" w:hAnsi="Calibri"/>
                <w:b/>
                <w:color w:val="0B2545"/>
                <w:sz w:val="16"/>
              </w:rPr>
              <w:t>TJM marché indicatif</w:t>
            </w:r>
          </w:p>
        </w:tc>
        <w:tc>
          <w:tcPr>
            <w:tcW w:type="dxa" w:w="1008"/>
            <w:shd w:fill="F2F4F7"/>
            <w:vAlign w:val="center"/>
            <w:tcMar>
              <w:top w:w="80" w:type="dxa"/>
              <w:bottom w:w="80" w:type="dxa"/>
              <w:start w:w="120" w:type="dxa"/>
              <w:end w:w="120" w:type="dxa"/>
            </w:tcMar>
          </w:tcPr>
          <w:p>
            <w:pPr>
              <w:spacing w:before="20" w:after="20"/>
            </w:pPr>
            <w:r>
              <w:rPr>
                <w:rFonts w:ascii="Calibri" w:hAnsi="Calibri"/>
                <w:b/>
                <w:color w:val="0B2545"/>
                <w:sz w:val="16"/>
              </w:rPr>
              <w:t>Zone</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6"/>
              </w:rPr>
              <w:t>Chef de projet WMS / Blue Yonder</w:t>
            </w:r>
          </w:p>
        </w:tc>
        <w:tc>
          <w:tcPr>
            <w:tcW w:type="dxa" w:w="3384"/>
            <w:vAlign w:val="top"/>
            <w:tcMar>
              <w:top w:w="80" w:type="dxa"/>
              <w:bottom w:w="80" w:type="dxa"/>
              <w:start w:w="120" w:type="dxa"/>
              <w:end w:w="120" w:type="dxa"/>
            </w:tcMar>
          </w:tcPr>
          <w:p>
            <w:pPr>
              <w:spacing w:before="0" w:after="40" w:line="240" w:lineRule="auto"/>
            </w:pPr>
            <w:r>
              <w:rPr>
                <w:rFonts w:ascii="Calibri" w:hAnsi="Calibri"/>
                <w:b w:val="0"/>
                <w:color w:val="1D2630"/>
                <w:sz w:val="16"/>
              </w:rPr>
              <w:t>Déploiement multisites, gouvernance, planning, risques</w:t>
            </w:r>
          </w:p>
        </w:tc>
        <w:tc>
          <w:tcPr>
            <w:tcW w:type="dxa" w:w="936"/>
            <w:vAlign w:val="top"/>
            <w:tcMar>
              <w:top w:w="80" w:type="dxa"/>
              <w:bottom w:w="80" w:type="dxa"/>
              <w:start w:w="120" w:type="dxa"/>
              <w:end w:w="120" w:type="dxa"/>
            </w:tcMar>
          </w:tcPr>
          <w:p>
            <w:pPr>
              <w:spacing w:before="0" w:after="40" w:line="240" w:lineRule="auto"/>
            </w:pPr>
            <w:r>
              <w:rPr>
                <w:rFonts w:ascii="Calibri" w:hAnsi="Calibri"/>
                <w:b w:val="0"/>
                <w:color w:val="1D2630"/>
                <w:sz w:val="16"/>
              </w:rPr>
              <w:t>8-12 ans</w:t>
            </w:r>
          </w:p>
        </w:tc>
        <w:tc>
          <w:tcPr>
            <w:tcW w:type="dxa" w:w="1656"/>
            <w:vAlign w:val="top"/>
            <w:tcMar>
              <w:top w:w="80" w:type="dxa"/>
              <w:bottom w:w="80" w:type="dxa"/>
              <w:start w:w="120" w:type="dxa"/>
              <w:end w:w="120" w:type="dxa"/>
            </w:tcMar>
          </w:tcPr>
          <w:p>
            <w:pPr>
              <w:spacing w:before="0" w:after="40" w:line="240" w:lineRule="auto"/>
            </w:pPr>
            <w:r>
              <w:rPr>
                <w:rFonts w:ascii="Calibri" w:hAnsi="Calibri"/>
                <w:b w:val="0"/>
                <w:color w:val="1D2630"/>
                <w:sz w:val="16"/>
              </w:rPr>
              <w:t>650-850 €</w:t>
            </w:r>
          </w:p>
        </w:tc>
        <w:tc>
          <w:tcPr>
            <w:tcW w:type="dxa" w:w="1008"/>
            <w:vAlign w:val="top"/>
            <w:tcMar>
              <w:top w:w="80" w:type="dxa"/>
              <w:bottom w:w="80" w:type="dxa"/>
              <w:start w:w="120" w:type="dxa"/>
              <w:end w:w="120" w:type="dxa"/>
            </w:tcMar>
          </w:tcPr>
          <w:p>
            <w:pPr>
              <w:spacing w:before="0" w:after="40" w:line="240" w:lineRule="auto"/>
            </w:pPr>
            <w:r>
              <w:rPr>
                <w:rFonts w:ascii="Calibri" w:hAnsi="Calibri"/>
                <w:b w:val="0"/>
                <w:color w:val="1D2630"/>
                <w:sz w:val="16"/>
              </w:rPr>
              <w:t>Paris Est / Lyon</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6"/>
              </w:rPr>
              <w:t>Consultant fonctionnel WMS / Blue Yonder</w:t>
            </w:r>
          </w:p>
        </w:tc>
        <w:tc>
          <w:tcPr>
            <w:tcW w:type="dxa" w:w="3384"/>
            <w:vAlign w:val="top"/>
            <w:tcMar>
              <w:top w:w="80" w:type="dxa"/>
              <w:bottom w:w="80" w:type="dxa"/>
              <w:start w:w="120" w:type="dxa"/>
              <w:end w:w="120" w:type="dxa"/>
            </w:tcMar>
          </w:tcPr>
          <w:p>
            <w:pPr>
              <w:spacing w:before="0" w:after="40" w:line="240" w:lineRule="auto"/>
            </w:pPr>
            <w:r>
              <w:rPr>
                <w:rFonts w:ascii="Calibri" w:hAnsi="Calibri"/>
                <w:b w:val="0"/>
                <w:color w:val="1D2630"/>
                <w:sz w:val="16"/>
              </w:rPr>
              <w:t>Paramétrage, flux entrepôt, recette, support métier</w:t>
            </w:r>
          </w:p>
        </w:tc>
        <w:tc>
          <w:tcPr>
            <w:tcW w:type="dxa" w:w="936"/>
            <w:vAlign w:val="top"/>
            <w:tcMar>
              <w:top w:w="80" w:type="dxa"/>
              <w:bottom w:w="80" w:type="dxa"/>
              <w:start w:w="120" w:type="dxa"/>
              <w:end w:w="120" w:type="dxa"/>
            </w:tcMar>
          </w:tcPr>
          <w:p>
            <w:pPr>
              <w:spacing w:before="0" w:after="40" w:line="240" w:lineRule="auto"/>
            </w:pPr>
            <w:r>
              <w:rPr>
                <w:rFonts w:ascii="Calibri" w:hAnsi="Calibri"/>
                <w:b w:val="0"/>
                <w:color w:val="1D2630"/>
                <w:sz w:val="16"/>
              </w:rPr>
              <w:t>5-10 ans</w:t>
            </w:r>
          </w:p>
        </w:tc>
        <w:tc>
          <w:tcPr>
            <w:tcW w:type="dxa" w:w="1656"/>
            <w:vAlign w:val="top"/>
            <w:tcMar>
              <w:top w:w="80" w:type="dxa"/>
              <w:bottom w:w="80" w:type="dxa"/>
              <w:start w:w="120" w:type="dxa"/>
              <w:end w:w="120" w:type="dxa"/>
            </w:tcMar>
          </w:tcPr>
          <w:p>
            <w:pPr>
              <w:spacing w:before="0" w:after="40" w:line="240" w:lineRule="auto"/>
            </w:pPr>
            <w:r>
              <w:rPr>
                <w:rFonts w:ascii="Calibri" w:hAnsi="Calibri"/>
                <w:b w:val="0"/>
                <w:color w:val="1D2630"/>
                <w:sz w:val="16"/>
              </w:rPr>
              <w:t>700-950 €</w:t>
            </w:r>
          </w:p>
        </w:tc>
        <w:tc>
          <w:tcPr>
            <w:tcW w:type="dxa" w:w="1008"/>
            <w:vAlign w:val="top"/>
            <w:tcMar>
              <w:top w:w="80" w:type="dxa"/>
              <w:bottom w:w="80" w:type="dxa"/>
              <w:start w:w="120" w:type="dxa"/>
              <w:end w:w="120" w:type="dxa"/>
            </w:tcMar>
          </w:tcPr>
          <w:p>
            <w:pPr>
              <w:spacing w:before="0" w:after="40" w:line="240" w:lineRule="auto"/>
            </w:pPr>
            <w:r>
              <w:rPr>
                <w:rFonts w:ascii="Calibri" w:hAnsi="Calibri"/>
                <w:b w:val="0"/>
                <w:color w:val="1D2630"/>
                <w:sz w:val="16"/>
              </w:rPr>
              <w:t>Lyon / national</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6"/>
              </w:rPr>
              <w:t>Business Analyst Logistique / WMS</w:t>
            </w:r>
          </w:p>
        </w:tc>
        <w:tc>
          <w:tcPr>
            <w:tcW w:type="dxa" w:w="3384"/>
            <w:vAlign w:val="top"/>
            <w:tcMar>
              <w:top w:w="80" w:type="dxa"/>
              <w:bottom w:w="80" w:type="dxa"/>
              <w:start w:w="120" w:type="dxa"/>
              <w:end w:w="120" w:type="dxa"/>
            </w:tcMar>
          </w:tcPr>
          <w:p>
            <w:pPr>
              <w:spacing w:before="0" w:after="40" w:line="240" w:lineRule="auto"/>
            </w:pPr>
            <w:r>
              <w:rPr>
                <w:rFonts w:ascii="Calibri" w:hAnsi="Calibri"/>
                <w:b w:val="0"/>
                <w:color w:val="1D2630"/>
                <w:sz w:val="16"/>
              </w:rPr>
              <w:t>Process inbound/outbound, picking, stock, ateliers</w:t>
            </w:r>
          </w:p>
        </w:tc>
        <w:tc>
          <w:tcPr>
            <w:tcW w:type="dxa" w:w="936"/>
            <w:vAlign w:val="top"/>
            <w:tcMar>
              <w:top w:w="80" w:type="dxa"/>
              <w:bottom w:w="80" w:type="dxa"/>
              <w:start w:w="120" w:type="dxa"/>
              <w:end w:w="120" w:type="dxa"/>
            </w:tcMar>
          </w:tcPr>
          <w:p>
            <w:pPr>
              <w:spacing w:before="0" w:after="40" w:line="240" w:lineRule="auto"/>
            </w:pPr>
            <w:r>
              <w:rPr>
                <w:rFonts w:ascii="Calibri" w:hAnsi="Calibri"/>
                <w:b w:val="0"/>
                <w:color w:val="1D2630"/>
                <w:sz w:val="16"/>
              </w:rPr>
              <w:t>4-8 ans</w:t>
            </w:r>
          </w:p>
        </w:tc>
        <w:tc>
          <w:tcPr>
            <w:tcW w:type="dxa" w:w="1656"/>
            <w:vAlign w:val="top"/>
            <w:tcMar>
              <w:top w:w="80" w:type="dxa"/>
              <w:bottom w:w="80" w:type="dxa"/>
              <w:start w:w="120" w:type="dxa"/>
              <w:end w:w="120" w:type="dxa"/>
            </w:tcMar>
          </w:tcPr>
          <w:p>
            <w:pPr>
              <w:spacing w:before="0" w:after="40" w:line="240" w:lineRule="auto"/>
            </w:pPr>
            <w:r>
              <w:rPr>
                <w:rFonts w:ascii="Calibri" w:hAnsi="Calibri"/>
                <w:b w:val="0"/>
                <w:color w:val="1D2630"/>
                <w:sz w:val="16"/>
              </w:rPr>
              <w:t>550-700 €</w:t>
            </w:r>
          </w:p>
        </w:tc>
        <w:tc>
          <w:tcPr>
            <w:tcW w:type="dxa" w:w="1008"/>
            <w:vAlign w:val="top"/>
            <w:tcMar>
              <w:top w:w="80" w:type="dxa"/>
              <w:bottom w:w="80" w:type="dxa"/>
              <w:start w:w="120" w:type="dxa"/>
              <w:end w:w="120" w:type="dxa"/>
            </w:tcMar>
          </w:tcPr>
          <w:p>
            <w:pPr>
              <w:spacing w:before="0" w:after="40" w:line="240" w:lineRule="auto"/>
            </w:pPr>
            <w:r>
              <w:rPr>
                <w:rFonts w:ascii="Calibri" w:hAnsi="Calibri"/>
                <w:b w:val="0"/>
                <w:color w:val="1D2630"/>
                <w:sz w:val="16"/>
              </w:rPr>
              <w:t>Sites logistiques</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6"/>
              </w:rPr>
              <w:t>PMO programme multisites</w:t>
            </w:r>
          </w:p>
        </w:tc>
        <w:tc>
          <w:tcPr>
            <w:tcW w:type="dxa" w:w="3384"/>
            <w:vAlign w:val="top"/>
            <w:tcMar>
              <w:top w:w="80" w:type="dxa"/>
              <w:bottom w:w="80" w:type="dxa"/>
              <w:start w:w="120" w:type="dxa"/>
              <w:end w:w="120" w:type="dxa"/>
            </w:tcMar>
          </w:tcPr>
          <w:p>
            <w:pPr>
              <w:spacing w:before="0" w:after="40" w:line="240" w:lineRule="auto"/>
            </w:pPr>
            <w:r>
              <w:rPr>
                <w:rFonts w:ascii="Calibri" w:hAnsi="Calibri"/>
                <w:b w:val="0"/>
                <w:color w:val="1D2630"/>
                <w:sz w:val="16"/>
              </w:rPr>
              <w:t>Planning, KPI, dépendances, comités, RAID log</w:t>
            </w:r>
          </w:p>
        </w:tc>
        <w:tc>
          <w:tcPr>
            <w:tcW w:type="dxa" w:w="936"/>
            <w:vAlign w:val="top"/>
            <w:tcMar>
              <w:top w:w="80" w:type="dxa"/>
              <w:bottom w:w="80" w:type="dxa"/>
              <w:start w:w="120" w:type="dxa"/>
              <w:end w:w="120" w:type="dxa"/>
            </w:tcMar>
          </w:tcPr>
          <w:p>
            <w:pPr>
              <w:spacing w:before="0" w:after="40" w:line="240" w:lineRule="auto"/>
            </w:pPr>
            <w:r>
              <w:rPr>
                <w:rFonts w:ascii="Calibri" w:hAnsi="Calibri"/>
                <w:b w:val="0"/>
                <w:color w:val="1D2630"/>
                <w:sz w:val="16"/>
              </w:rPr>
              <w:t>5-8 ans</w:t>
            </w:r>
          </w:p>
        </w:tc>
        <w:tc>
          <w:tcPr>
            <w:tcW w:type="dxa" w:w="1656"/>
            <w:vAlign w:val="top"/>
            <w:tcMar>
              <w:top w:w="80" w:type="dxa"/>
              <w:bottom w:w="80" w:type="dxa"/>
              <w:start w:w="120" w:type="dxa"/>
              <w:end w:w="120" w:type="dxa"/>
            </w:tcMar>
          </w:tcPr>
          <w:p>
            <w:pPr>
              <w:spacing w:before="0" w:after="40" w:line="240" w:lineRule="auto"/>
            </w:pPr>
            <w:r>
              <w:rPr>
                <w:rFonts w:ascii="Calibri" w:hAnsi="Calibri"/>
                <w:b w:val="0"/>
                <w:color w:val="1D2630"/>
                <w:sz w:val="16"/>
              </w:rPr>
              <w:t>500-650 €</w:t>
            </w:r>
          </w:p>
        </w:tc>
        <w:tc>
          <w:tcPr>
            <w:tcW w:type="dxa" w:w="1008"/>
            <w:vAlign w:val="top"/>
            <w:tcMar>
              <w:top w:w="80" w:type="dxa"/>
              <w:bottom w:w="80" w:type="dxa"/>
              <w:start w:w="120" w:type="dxa"/>
              <w:end w:w="120" w:type="dxa"/>
            </w:tcMar>
          </w:tcPr>
          <w:p>
            <w:pPr>
              <w:spacing w:before="0" w:after="40" w:line="240" w:lineRule="auto"/>
            </w:pPr>
            <w:r>
              <w:rPr>
                <w:rFonts w:ascii="Calibri" w:hAnsi="Calibri"/>
                <w:b w:val="0"/>
                <w:color w:val="1D2630"/>
                <w:sz w:val="16"/>
              </w:rPr>
              <w:t>Ferrières / Lyon</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6"/>
              </w:rPr>
              <w:t>Cutover Manager WMS</w:t>
            </w:r>
          </w:p>
        </w:tc>
        <w:tc>
          <w:tcPr>
            <w:tcW w:type="dxa" w:w="3384"/>
            <w:vAlign w:val="top"/>
            <w:tcMar>
              <w:top w:w="80" w:type="dxa"/>
              <w:bottom w:w="80" w:type="dxa"/>
              <w:start w:w="120" w:type="dxa"/>
              <w:end w:w="120" w:type="dxa"/>
            </w:tcMar>
          </w:tcPr>
          <w:p>
            <w:pPr>
              <w:spacing w:before="0" w:after="40" w:line="240" w:lineRule="auto"/>
            </w:pPr>
            <w:r>
              <w:rPr>
                <w:rFonts w:ascii="Calibri" w:hAnsi="Calibri"/>
                <w:b w:val="0"/>
                <w:color w:val="1D2630"/>
                <w:sz w:val="16"/>
              </w:rPr>
              <w:t>Plan de bascule, répétitions, go/no-go, hypercare</w:t>
            </w:r>
          </w:p>
        </w:tc>
        <w:tc>
          <w:tcPr>
            <w:tcW w:type="dxa" w:w="936"/>
            <w:vAlign w:val="top"/>
            <w:tcMar>
              <w:top w:w="80" w:type="dxa"/>
              <w:bottom w:w="80" w:type="dxa"/>
              <w:start w:w="120" w:type="dxa"/>
              <w:end w:w="120" w:type="dxa"/>
            </w:tcMar>
          </w:tcPr>
          <w:p>
            <w:pPr>
              <w:spacing w:before="0" w:after="40" w:line="240" w:lineRule="auto"/>
            </w:pPr>
            <w:r>
              <w:rPr>
                <w:rFonts w:ascii="Calibri" w:hAnsi="Calibri"/>
                <w:b w:val="0"/>
                <w:color w:val="1D2630"/>
                <w:sz w:val="16"/>
              </w:rPr>
              <w:t>8-12 ans</w:t>
            </w:r>
          </w:p>
        </w:tc>
        <w:tc>
          <w:tcPr>
            <w:tcW w:type="dxa" w:w="1656"/>
            <w:vAlign w:val="top"/>
            <w:tcMar>
              <w:top w:w="80" w:type="dxa"/>
              <w:bottom w:w="80" w:type="dxa"/>
              <w:start w:w="120" w:type="dxa"/>
              <w:end w:w="120" w:type="dxa"/>
            </w:tcMar>
          </w:tcPr>
          <w:p>
            <w:pPr>
              <w:spacing w:before="0" w:after="40" w:line="240" w:lineRule="auto"/>
            </w:pPr>
            <w:r>
              <w:rPr>
                <w:rFonts w:ascii="Calibri" w:hAnsi="Calibri"/>
                <w:b w:val="0"/>
                <w:color w:val="1D2630"/>
                <w:sz w:val="16"/>
              </w:rPr>
              <w:t>650-850 €</w:t>
            </w:r>
          </w:p>
        </w:tc>
        <w:tc>
          <w:tcPr>
            <w:tcW w:type="dxa" w:w="1008"/>
            <w:vAlign w:val="top"/>
            <w:tcMar>
              <w:top w:w="80" w:type="dxa"/>
              <w:bottom w:w="80" w:type="dxa"/>
              <w:start w:w="120" w:type="dxa"/>
              <w:end w:w="120" w:type="dxa"/>
            </w:tcMar>
          </w:tcPr>
          <w:p>
            <w:pPr>
              <w:spacing w:before="0" w:after="40" w:line="240" w:lineRule="auto"/>
            </w:pPr>
            <w:r>
              <w:rPr>
                <w:rFonts w:ascii="Calibri" w:hAnsi="Calibri"/>
                <w:b w:val="0"/>
                <w:color w:val="1D2630"/>
                <w:sz w:val="16"/>
              </w:rPr>
              <w:t>Mobilité nationale</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6"/>
              </w:rPr>
              <w:t>Test Manager / QA Lead</w:t>
            </w:r>
          </w:p>
        </w:tc>
        <w:tc>
          <w:tcPr>
            <w:tcW w:type="dxa" w:w="3384"/>
            <w:vAlign w:val="top"/>
            <w:tcMar>
              <w:top w:w="80" w:type="dxa"/>
              <w:bottom w:w="80" w:type="dxa"/>
              <w:start w:w="120" w:type="dxa"/>
              <w:end w:w="120" w:type="dxa"/>
            </w:tcMar>
          </w:tcPr>
          <w:p>
            <w:pPr>
              <w:spacing w:before="0" w:after="40" w:line="240" w:lineRule="auto"/>
            </w:pPr>
            <w:r>
              <w:rPr>
                <w:rFonts w:ascii="Calibri" w:hAnsi="Calibri"/>
                <w:b w:val="0"/>
                <w:color w:val="1D2630"/>
                <w:sz w:val="16"/>
              </w:rPr>
              <w:t>Stratégie de tests, E2E, automatisation, non-régression</w:t>
            </w:r>
          </w:p>
        </w:tc>
        <w:tc>
          <w:tcPr>
            <w:tcW w:type="dxa" w:w="936"/>
            <w:vAlign w:val="top"/>
            <w:tcMar>
              <w:top w:w="80" w:type="dxa"/>
              <w:bottom w:w="80" w:type="dxa"/>
              <w:start w:w="120" w:type="dxa"/>
              <w:end w:w="120" w:type="dxa"/>
            </w:tcMar>
          </w:tcPr>
          <w:p>
            <w:pPr>
              <w:spacing w:before="0" w:after="40" w:line="240" w:lineRule="auto"/>
            </w:pPr>
            <w:r>
              <w:rPr>
                <w:rFonts w:ascii="Calibri" w:hAnsi="Calibri"/>
                <w:b w:val="0"/>
                <w:color w:val="1D2630"/>
                <w:sz w:val="16"/>
              </w:rPr>
              <w:t>6-10 ans</w:t>
            </w:r>
          </w:p>
        </w:tc>
        <w:tc>
          <w:tcPr>
            <w:tcW w:type="dxa" w:w="1656"/>
            <w:vAlign w:val="top"/>
            <w:tcMar>
              <w:top w:w="80" w:type="dxa"/>
              <w:bottom w:w="80" w:type="dxa"/>
              <w:start w:w="120" w:type="dxa"/>
              <w:end w:w="120" w:type="dxa"/>
            </w:tcMar>
          </w:tcPr>
          <w:p>
            <w:pPr>
              <w:spacing w:before="0" w:after="40" w:line="240" w:lineRule="auto"/>
            </w:pPr>
            <w:r>
              <w:rPr>
                <w:rFonts w:ascii="Calibri" w:hAnsi="Calibri"/>
                <w:b w:val="0"/>
                <w:color w:val="1D2630"/>
                <w:sz w:val="16"/>
              </w:rPr>
              <w:t>550-700 €</w:t>
            </w:r>
          </w:p>
        </w:tc>
        <w:tc>
          <w:tcPr>
            <w:tcW w:type="dxa" w:w="1008"/>
            <w:vAlign w:val="top"/>
            <w:tcMar>
              <w:top w:w="80" w:type="dxa"/>
              <w:bottom w:w="80" w:type="dxa"/>
              <w:start w:w="120" w:type="dxa"/>
              <w:end w:w="120" w:type="dxa"/>
            </w:tcMar>
          </w:tcPr>
          <w:p>
            <w:pPr>
              <w:spacing w:before="0" w:after="40" w:line="240" w:lineRule="auto"/>
            </w:pPr>
            <w:r>
              <w:rPr>
                <w:rFonts w:ascii="Calibri" w:hAnsi="Calibri"/>
                <w:b w:val="0"/>
                <w:color w:val="1D2630"/>
                <w:sz w:val="16"/>
              </w:rPr>
              <w:t>Ferrières / Lyon</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6"/>
              </w:rPr>
              <w:t>Chef de projet EDI / API</w:t>
            </w:r>
          </w:p>
        </w:tc>
        <w:tc>
          <w:tcPr>
            <w:tcW w:type="dxa" w:w="3384"/>
            <w:vAlign w:val="top"/>
            <w:tcMar>
              <w:top w:w="80" w:type="dxa"/>
              <w:bottom w:w="80" w:type="dxa"/>
              <w:start w:w="120" w:type="dxa"/>
              <w:end w:w="120" w:type="dxa"/>
            </w:tcMar>
          </w:tcPr>
          <w:p>
            <w:pPr>
              <w:spacing w:before="0" w:after="40" w:line="240" w:lineRule="auto"/>
            </w:pPr>
            <w:r>
              <w:rPr>
                <w:rFonts w:ascii="Calibri" w:hAnsi="Calibri"/>
                <w:b w:val="0"/>
                <w:color w:val="1D2630"/>
                <w:sz w:val="16"/>
              </w:rPr>
              <w:t>EDIFACT, API, mapping, onboarding clients</w:t>
            </w:r>
          </w:p>
        </w:tc>
        <w:tc>
          <w:tcPr>
            <w:tcW w:type="dxa" w:w="936"/>
            <w:vAlign w:val="top"/>
            <w:tcMar>
              <w:top w:w="80" w:type="dxa"/>
              <w:bottom w:w="80" w:type="dxa"/>
              <w:start w:w="120" w:type="dxa"/>
              <w:end w:w="120" w:type="dxa"/>
            </w:tcMar>
          </w:tcPr>
          <w:p>
            <w:pPr>
              <w:spacing w:before="0" w:after="40" w:line="240" w:lineRule="auto"/>
            </w:pPr>
            <w:r>
              <w:rPr>
                <w:rFonts w:ascii="Calibri" w:hAnsi="Calibri"/>
                <w:b w:val="0"/>
                <w:color w:val="1D2630"/>
                <w:sz w:val="16"/>
              </w:rPr>
              <w:t>6-10 ans</w:t>
            </w:r>
          </w:p>
        </w:tc>
        <w:tc>
          <w:tcPr>
            <w:tcW w:type="dxa" w:w="1656"/>
            <w:vAlign w:val="top"/>
            <w:tcMar>
              <w:top w:w="80" w:type="dxa"/>
              <w:bottom w:w="80" w:type="dxa"/>
              <w:start w:w="120" w:type="dxa"/>
              <w:end w:w="120" w:type="dxa"/>
            </w:tcMar>
          </w:tcPr>
          <w:p>
            <w:pPr>
              <w:spacing w:before="0" w:after="40" w:line="240" w:lineRule="auto"/>
            </w:pPr>
            <w:r>
              <w:rPr>
                <w:rFonts w:ascii="Calibri" w:hAnsi="Calibri"/>
                <w:b w:val="0"/>
                <w:color w:val="1D2630"/>
                <w:sz w:val="16"/>
              </w:rPr>
              <w:t>600-800 €</w:t>
            </w:r>
          </w:p>
        </w:tc>
        <w:tc>
          <w:tcPr>
            <w:tcW w:type="dxa" w:w="1008"/>
            <w:vAlign w:val="top"/>
            <w:tcMar>
              <w:top w:w="80" w:type="dxa"/>
              <w:bottom w:w="80" w:type="dxa"/>
              <w:start w:w="120" w:type="dxa"/>
              <w:end w:w="120" w:type="dxa"/>
            </w:tcMar>
          </w:tcPr>
          <w:p>
            <w:pPr>
              <w:spacing w:before="0" w:after="40" w:line="240" w:lineRule="auto"/>
            </w:pPr>
            <w:r>
              <w:rPr>
                <w:rFonts w:ascii="Calibri" w:hAnsi="Calibri"/>
                <w:b w:val="0"/>
                <w:color w:val="1D2630"/>
                <w:sz w:val="16"/>
              </w:rPr>
              <w:t>Lyon / Ferrières</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6"/>
              </w:rPr>
              <w:t>Architecte intégration</w:t>
            </w:r>
          </w:p>
        </w:tc>
        <w:tc>
          <w:tcPr>
            <w:tcW w:type="dxa" w:w="3384"/>
            <w:vAlign w:val="top"/>
            <w:tcMar>
              <w:top w:w="80" w:type="dxa"/>
              <w:bottom w:w="80" w:type="dxa"/>
              <w:start w:w="120" w:type="dxa"/>
              <w:end w:w="120" w:type="dxa"/>
            </w:tcMar>
          </w:tcPr>
          <w:p>
            <w:pPr>
              <w:spacing w:before="0" w:after="40" w:line="240" w:lineRule="auto"/>
            </w:pPr>
            <w:r>
              <w:rPr>
                <w:rFonts w:ascii="Calibri" w:hAnsi="Calibri"/>
                <w:b w:val="0"/>
                <w:color w:val="1D2630"/>
                <w:sz w:val="16"/>
              </w:rPr>
              <w:t>API management, middleware, event-driven, sécurité</w:t>
            </w:r>
          </w:p>
        </w:tc>
        <w:tc>
          <w:tcPr>
            <w:tcW w:type="dxa" w:w="936"/>
            <w:vAlign w:val="top"/>
            <w:tcMar>
              <w:top w:w="80" w:type="dxa"/>
              <w:bottom w:w="80" w:type="dxa"/>
              <w:start w:w="120" w:type="dxa"/>
              <w:end w:w="120" w:type="dxa"/>
            </w:tcMar>
          </w:tcPr>
          <w:p>
            <w:pPr>
              <w:spacing w:before="0" w:after="40" w:line="240" w:lineRule="auto"/>
            </w:pPr>
            <w:r>
              <w:rPr>
                <w:rFonts w:ascii="Calibri" w:hAnsi="Calibri"/>
                <w:b w:val="0"/>
                <w:color w:val="1D2630"/>
                <w:sz w:val="16"/>
              </w:rPr>
              <w:t>8-12 ans</w:t>
            </w:r>
          </w:p>
        </w:tc>
        <w:tc>
          <w:tcPr>
            <w:tcW w:type="dxa" w:w="1656"/>
            <w:vAlign w:val="top"/>
            <w:tcMar>
              <w:top w:w="80" w:type="dxa"/>
              <w:bottom w:w="80" w:type="dxa"/>
              <w:start w:w="120" w:type="dxa"/>
              <w:end w:w="120" w:type="dxa"/>
            </w:tcMar>
          </w:tcPr>
          <w:p>
            <w:pPr>
              <w:spacing w:before="0" w:after="40" w:line="240" w:lineRule="auto"/>
            </w:pPr>
            <w:r>
              <w:rPr>
                <w:rFonts w:ascii="Calibri" w:hAnsi="Calibri"/>
                <w:b w:val="0"/>
                <w:color w:val="1D2630"/>
                <w:sz w:val="16"/>
              </w:rPr>
              <w:t>750-950 €</w:t>
            </w:r>
          </w:p>
        </w:tc>
        <w:tc>
          <w:tcPr>
            <w:tcW w:type="dxa" w:w="1008"/>
            <w:vAlign w:val="top"/>
            <w:tcMar>
              <w:top w:w="80" w:type="dxa"/>
              <w:bottom w:w="80" w:type="dxa"/>
              <w:start w:w="120" w:type="dxa"/>
              <w:end w:w="120" w:type="dxa"/>
            </w:tcMar>
          </w:tcPr>
          <w:p>
            <w:pPr>
              <w:spacing w:before="0" w:after="40" w:line="240" w:lineRule="auto"/>
            </w:pPr>
            <w:r>
              <w:rPr>
                <w:rFonts w:ascii="Calibri" w:hAnsi="Calibri"/>
                <w:b w:val="0"/>
                <w:color w:val="1D2630"/>
                <w:sz w:val="16"/>
              </w:rPr>
              <w:t>Hybride</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6"/>
              </w:rPr>
              <w:t>Data Migration Lead / Data Quality</w:t>
            </w:r>
          </w:p>
        </w:tc>
        <w:tc>
          <w:tcPr>
            <w:tcW w:type="dxa" w:w="3384"/>
            <w:vAlign w:val="top"/>
            <w:tcMar>
              <w:top w:w="80" w:type="dxa"/>
              <w:bottom w:w="80" w:type="dxa"/>
              <w:start w:w="120" w:type="dxa"/>
              <w:end w:w="120" w:type="dxa"/>
            </w:tcMar>
          </w:tcPr>
          <w:p>
            <w:pPr>
              <w:spacing w:before="0" w:after="40" w:line="240" w:lineRule="auto"/>
            </w:pPr>
            <w:r>
              <w:rPr>
                <w:rFonts w:ascii="Calibri" w:hAnsi="Calibri"/>
                <w:b w:val="0"/>
                <w:color w:val="1D2630"/>
                <w:sz w:val="16"/>
              </w:rPr>
              <w:t>Mapping, nettoyage, reprise, réconciliation</w:t>
            </w:r>
          </w:p>
        </w:tc>
        <w:tc>
          <w:tcPr>
            <w:tcW w:type="dxa" w:w="936"/>
            <w:vAlign w:val="top"/>
            <w:tcMar>
              <w:top w:w="80" w:type="dxa"/>
              <w:bottom w:w="80" w:type="dxa"/>
              <w:start w:w="120" w:type="dxa"/>
              <w:end w:w="120" w:type="dxa"/>
            </w:tcMar>
          </w:tcPr>
          <w:p>
            <w:pPr>
              <w:spacing w:before="0" w:after="40" w:line="240" w:lineRule="auto"/>
            </w:pPr>
            <w:r>
              <w:rPr>
                <w:rFonts w:ascii="Calibri" w:hAnsi="Calibri"/>
                <w:b w:val="0"/>
                <w:color w:val="1D2630"/>
                <w:sz w:val="16"/>
              </w:rPr>
              <w:t>7-12 ans</w:t>
            </w:r>
          </w:p>
        </w:tc>
        <w:tc>
          <w:tcPr>
            <w:tcW w:type="dxa" w:w="1656"/>
            <w:vAlign w:val="top"/>
            <w:tcMar>
              <w:top w:w="80" w:type="dxa"/>
              <w:bottom w:w="80" w:type="dxa"/>
              <w:start w:w="120" w:type="dxa"/>
              <w:end w:w="120" w:type="dxa"/>
            </w:tcMar>
          </w:tcPr>
          <w:p>
            <w:pPr>
              <w:spacing w:before="0" w:after="40" w:line="240" w:lineRule="auto"/>
            </w:pPr>
            <w:r>
              <w:rPr>
                <w:rFonts w:ascii="Calibri" w:hAnsi="Calibri"/>
                <w:b w:val="0"/>
                <w:color w:val="1D2630"/>
                <w:sz w:val="16"/>
              </w:rPr>
              <w:t>650-850 €</w:t>
            </w:r>
          </w:p>
        </w:tc>
        <w:tc>
          <w:tcPr>
            <w:tcW w:type="dxa" w:w="1008"/>
            <w:vAlign w:val="top"/>
            <w:tcMar>
              <w:top w:w="80" w:type="dxa"/>
              <w:bottom w:w="80" w:type="dxa"/>
              <w:start w:w="120" w:type="dxa"/>
              <w:end w:w="120" w:type="dxa"/>
            </w:tcMar>
          </w:tcPr>
          <w:p>
            <w:pPr>
              <w:spacing w:before="0" w:after="40" w:line="240" w:lineRule="auto"/>
            </w:pPr>
            <w:r>
              <w:rPr>
                <w:rFonts w:ascii="Calibri" w:hAnsi="Calibri"/>
                <w:b w:val="0"/>
                <w:color w:val="1D2630"/>
                <w:sz w:val="16"/>
              </w:rPr>
              <w:t>Ferrières / Lyon</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6"/>
              </w:rPr>
              <w:t>Cloud / DevOps Engineer</w:t>
            </w:r>
          </w:p>
        </w:tc>
        <w:tc>
          <w:tcPr>
            <w:tcW w:type="dxa" w:w="3384"/>
            <w:vAlign w:val="top"/>
            <w:tcMar>
              <w:top w:w="80" w:type="dxa"/>
              <w:bottom w:w="80" w:type="dxa"/>
              <w:start w:w="120" w:type="dxa"/>
              <w:end w:w="120" w:type="dxa"/>
            </w:tcMar>
          </w:tcPr>
          <w:p>
            <w:pPr>
              <w:spacing w:before="0" w:after="40" w:line="240" w:lineRule="auto"/>
            </w:pPr>
            <w:r>
              <w:rPr>
                <w:rFonts w:ascii="Calibri" w:hAnsi="Calibri"/>
                <w:b w:val="0"/>
                <w:color w:val="1D2630"/>
                <w:sz w:val="16"/>
              </w:rPr>
              <w:t>AWS, CI/CD, IaC, observabilité, FinOps</w:t>
            </w:r>
          </w:p>
        </w:tc>
        <w:tc>
          <w:tcPr>
            <w:tcW w:type="dxa" w:w="936"/>
            <w:vAlign w:val="top"/>
            <w:tcMar>
              <w:top w:w="80" w:type="dxa"/>
              <w:bottom w:w="80" w:type="dxa"/>
              <w:start w:w="120" w:type="dxa"/>
              <w:end w:w="120" w:type="dxa"/>
            </w:tcMar>
          </w:tcPr>
          <w:p>
            <w:pPr>
              <w:spacing w:before="0" w:after="40" w:line="240" w:lineRule="auto"/>
            </w:pPr>
            <w:r>
              <w:rPr>
                <w:rFonts w:ascii="Calibri" w:hAnsi="Calibri"/>
                <w:b w:val="0"/>
                <w:color w:val="1D2630"/>
                <w:sz w:val="16"/>
              </w:rPr>
              <w:t>5-10 ans</w:t>
            </w:r>
          </w:p>
        </w:tc>
        <w:tc>
          <w:tcPr>
            <w:tcW w:type="dxa" w:w="1656"/>
            <w:vAlign w:val="top"/>
            <w:tcMar>
              <w:top w:w="80" w:type="dxa"/>
              <w:bottom w:w="80" w:type="dxa"/>
              <w:start w:w="120" w:type="dxa"/>
              <w:end w:w="120" w:type="dxa"/>
            </w:tcMar>
          </w:tcPr>
          <w:p>
            <w:pPr>
              <w:spacing w:before="0" w:after="40" w:line="240" w:lineRule="auto"/>
            </w:pPr>
            <w:r>
              <w:rPr>
                <w:rFonts w:ascii="Calibri" w:hAnsi="Calibri"/>
                <w:b w:val="0"/>
                <w:color w:val="1D2630"/>
                <w:sz w:val="16"/>
              </w:rPr>
              <w:t>600-800 €</w:t>
            </w:r>
          </w:p>
        </w:tc>
        <w:tc>
          <w:tcPr>
            <w:tcW w:type="dxa" w:w="1008"/>
            <w:vAlign w:val="top"/>
            <w:tcMar>
              <w:top w:w="80" w:type="dxa"/>
              <w:bottom w:w="80" w:type="dxa"/>
              <w:start w:w="120" w:type="dxa"/>
              <w:end w:w="120" w:type="dxa"/>
            </w:tcMar>
          </w:tcPr>
          <w:p>
            <w:pPr>
              <w:spacing w:before="0" w:after="40" w:line="240" w:lineRule="auto"/>
            </w:pPr>
            <w:r>
              <w:rPr>
                <w:rFonts w:ascii="Calibri" w:hAnsi="Calibri"/>
                <w:b w:val="0"/>
                <w:color w:val="1D2630"/>
                <w:sz w:val="16"/>
              </w:rPr>
              <w:t>Hybride</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6"/>
              </w:rPr>
              <w:t>Cloud Security / IAM Expert</w:t>
            </w:r>
          </w:p>
        </w:tc>
        <w:tc>
          <w:tcPr>
            <w:tcW w:type="dxa" w:w="3384"/>
            <w:vAlign w:val="top"/>
            <w:tcMar>
              <w:top w:w="80" w:type="dxa"/>
              <w:bottom w:w="80" w:type="dxa"/>
              <w:start w:w="120" w:type="dxa"/>
              <w:end w:w="120" w:type="dxa"/>
            </w:tcMar>
          </w:tcPr>
          <w:p>
            <w:pPr>
              <w:spacing w:before="0" w:after="40" w:line="240" w:lineRule="auto"/>
            </w:pPr>
            <w:r>
              <w:rPr>
                <w:rFonts w:ascii="Calibri" w:hAnsi="Calibri"/>
                <w:b w:val="0"/>
                <w:color w:val="1D2630"/>
                <w:sz w:val="16"/>
              </w:rPr>
              <w:t>IAM, PAM, sécurité AWS, conformité et risques</w:t>
            </w:r>
          </w:p>
        </w:tc>
        <w:tc>
          <w:tcPr>
            <w:tcW w:type="dxa" w:w="936"/>
            <w:vAlign w:val="top"/>
            <w:tcMar>
              <w:top w:w="80" w:type="dxa"/>
              <w:bottom w:w="80" w:type="dxa"/>
              <w:start w:w="120" w:type="dxa"/>
              <w:end w:w="120" w:type="dxa"/>
            </w:tcMar>
          </w:tcPr>
          <w:p>
            <w:pPr>
              <w:spacing w:before="0" w:after="40" w:line="240" w:lineRule="auto"/>
            </w:pPr>
            <w:r>
              <w:rPr>
                <w:rFonts w:ascii="Calibri" w:hAnsi="Calibri"/>
                <w:b w:val="0"/>
                <w:color w:val="1D2630"/>
                <w:sz w:val="16"/>
              </w:rPr>
              <w:t>7-12 ans</w:t>
            </w:r>
          </w:p>
        </w:tc>
        <w:tc>
          <w:tcPr>
            <w:tcW w:type="dxa" w:w="1656"/>
            <w:vAlign w:val="top"/>
            <w:tcMar>
              <w:top w:w="80" w:type="dxa"/>
              <w:bottom w:w="80" w:type="dxa"/>
              <w:start w:w="120" w:type="dxa"/>
              <w:end w:w="120" w:type="dxa"/>
            </w:tcMar>
          </w:tcPr>
          <w:p>
            <w:pPr>
              <w:spacing w:before="0" w:after="40" w:line="240" w:lineRule="auto"/>
            </w:pPr>
            <w:r>
              <w:rPr>
                <w:rFonts w:ascii="Calibri" w:hAnsi="Calibri"/>
                <w:b w:val="0"/>
                <w:color w:val="1D2630"/>
                <w:sz w:val="16"/>
              </w:rPr>
              <w:t>700-950 €</w:t>
            </w:r>
          </w:p>
        </w:tc>
        <w:tc>
          <w:tcPr>
            <w:tcW w:type="dxa" w:w="1008"/>
            <w:vAlign w:val="top"/>
            <w:tcMar>
              <w:top w:w="80" w:type="dxa"/>
              <w:bottom w:w="80" w:type="dxa"/>
              <w:start w:w="120" w:type="dxa"/>
              <w:end w:w="120" w:type="dxa"/>
            </w:tcMar>
          </w:tcPr>
          <w:p>
            <w:pPr>
              <w:spacing w:before="0" w:after="40" w:line="240" w:lineRule="auto"/>
            </w:pPr>
            <w:r>
              <w:rPr>
                <w:rFonts w:ascii="Calibri" w:hAnsi="Calibri"/>
                <w:b w:val="0"/>
                <w:color w:val="1D2630"/>
                <w:sz w:val="16"/>
              </w:rPr>
              <w:t>Hybride</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6"/>
              </w:rPr>
              <w:t>Change Manager logistique</w:t>
            </w:r>
          </w:p>
        </w:tc>
        <w:tc>
          <w:tcPr>
            <w:tcW w:type="dxa" w:w="3384"/>
            <w:vAlign w:val="top"/>
            <w:tcMar>
              <w:top w:w="80" w:type="dxa"/>
              <w:bottom w:w="80" w:type="dxa"/>
              <w:start w:w="120" w:type="dxa"/>
              <w:end w:w="120" w:type="dxa"/>
            </w:tcMar>
          </w:tcPr>
          <w:p>
            <w:pPr>
              <w:spacing w:before="0" w:after="40" w:line="240" w:lineRule="auto"/>
            </w:pPr>
            <w:r>
              <w:rPr>
                <w:rFonts w:ascii="Calibri" w:hAnsi="Calibri"/>
                <w:b w:val="0"/>
                <w:color w:val="1D2630"/>
                <w:sz w:val="16"/>
              </w:rPr>
              <w:t>Impacts métiers, formation, adoption, communication</w:t>
            </w:r>
          </w:p>
        </w:tc>
        <w:tc>
          <w:tcPr>
            <w:tcW w:type="dxa" w:w="936"/>
            <w:vAlign w:val="top"/>
            <w:tcMar>
              <w:top w:w="80" w:type="dxa"/>
              <w:bottom w:w="80" w:type="dxa"/>
              <w:start w:w="120" w:type="dxa"/>
              <w:end w:w="120" w:type="dxa"/>
            </w:tcMar>
          </w:tcPr>
          <w:p>
            <w:pPr>
              <w:spacing w:before="0" w:after="40" w:line="240" w:lineRule="auto"/>
            </w:pPr>
            <w:r>
              <w:rPr>
                <w:rFonts w:ascii="Calibri" w:hAnsi="Calibri"/>
                <w:b w:val="0"/>
                <w:color w:val="1D2630"/>
                <w:sz w:val="16"/>
              </w:rPr>
              <w:t>5-10 ans</w:t>
            </w:r>
          </w:p>
        </w:tc>
        <w:tc>
          <w:tcPr>
            <w:tcW w:type="dxa" w:w="1656"/>
            <w:vAlign w:val="top"/>
            <w:tcMar>
              <w:top w:w="80" w:type="dxa"/>
              <w:bottom w:w="80" w:type="dxa"/>
              <w:start w:w="120" w:type="dxa"/>
              <w:end w:w="120" w:type="dxa"/>
            </w:tcMar>
          </w:tcPr>
          <w:p>
            <w:pPr>
              <w:spacing w:before="0" w:after="40" w:line="240" w:lineRule="auto"/>
            </w:pPr>
            <w:r>
              <w:rPr>
                <w:rFonts w:ascii="Calibri" w:hAnsi="Calibri"/>
                <w:b w:val="0"/>
                <w:color w:val="1D2630"/>
                <w:sz w:val="16"/>
              </w:rPr>
              <w:t>550-700 €</w:t>
            </w:r>
          </w:p>
        </w:tc>
        <w:tc>
          <w:tcPr>
            <w:tcW w:type="dxa" w:w="1008"/>
            <w:vAlign w:val="top"/>
            <w:tcMar>
              <w:top w:w="80" w:type="dxa"/>
              <w:bottom w:w="80" w:type="dxa"/>
              <w:start w:w="120" w:type="dxa"/>
              <w:end w:w="120" w:type="dxa"/>
            </w:tcMar>
          </w:tcPr>
          <w:p>
            <w:pPr>
              <w:spacing w:before="0" w:after="40" w:line="240" w:lineRule="auto"/>
            </w:pPr>
            <w:r>
              <w:rPr>
                <w:rFonts w:ascii="Calibri" w:hAnsi="Calibri"/>
                <w:b w:val="0"/>
                <w:color w:val="1D2630"/>
                <w:sz w:val="16"/>
              </w:rPr>
              <w:t>Mobilité sites</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6"/>
              </w:rPr>
              <w:t>Application Support L2/L3 WMS</w:t>
            </w:r>
          </w:p>
        </w:tc>
        <w:tc>
          <w:tcPr>
            <w:tcW w:type="dxa" w:w="3384"/>
            <w:vAlign w:val="top"/>
            <w:tcMar>
              <w:top w:w="80" w:type="dxa"/>
              <w:bottom w:w="80" w:type="dxa"/>
              <w:start w:w="120" w:type="dxa"/>
              <w:end w:w="120" w:type="dxa"/>
            </w:tcMar>
          </w:tcPr>
          <w:p>
            <w:pPr>
              <w:spacing w:before="0" w:after="40" w:line="240" w:lineRule="auto"/>
            </w:pPr>
            <w:r>
              <w:rPr>
                <w:rFonts w:ascii="Calibri" w:hAnsi="Calibri"/>
                <w:b w:val="0"/>
                <w:color w:val="1D2630"/>
                <w:sz w:val="16"/>
              </w:rPr>
              <w:t>RUN, incidents, problèmes, astreintes, SLA</w:t>
            </w:r>
          </w:p>
        </w:tc>
        <w:tc>
          <w:tcPr>
            <w:tcW w:type="dxa" w:w="936"/>
            <w:vAlign w:val="top"/>
            <w:tcMar>
              <w:top w:w="80" w:type="dxa"/>
              <w:bottom w:w="80" w:type="dxa"/>
              <w:start w:w="120" w:type="dxa"/>
              <w:end w:w="120" w:type="dxa"/>
            </w:tcMar>
          </w:tcPr>
          <w:p>
            <w:pPr>
              <w:spacing w:before="0" w:after="40" w:line="240" w:lineRule="auto"/>
            </w:pPr>
            <w:r>
              <w:rPr>
                <w:rFonts w:ascii="Calibri" w:hAnsi="Calibri"/>
                <w:b w:val="0"/>
                <w:color w:val="1D2630"/>
                <w:sz w:val="16"/>
              </w:rPr>
              <w:t>4-8 ans</w:t>
            </w:r>
          </w:p>
        </w:tc>
        <w:tc>
          <w:tcPr>
            <w:tcW w:type="dxa" w:w="1656"/>
            <w:vAlign w:val="top"/>
            <w:tcMar>
              <w:top w:w="80" w:type="dxa"/>
              <w:bottom w:w="80" w:type="dxa"/>
              <w:start w:w="120" w:type="dxa"/>
              <w:end w:w="120" w:type="dxa"/>
            </w:tcMar>
          </w:tcPr>
          <w:p>
            <w:pPr>
              <w:spacing w:before="0" w:after="40" w:line="240" w:lineRule="auto"/>
            </w:pPr>
            <w:r>
              <w:rPr>
                <w:rFonts w:ascii="Calibri" w:hAnsi="Calibri"/>
                <w:b w:val="0"/>
                <w:color w:val="1D2630"/>
                <w:sz w:val="16"/>
              </w:rPr>
              <w:t>450-600 €</w:t>
            </w:r>
          </w:p>
        </w:tc>
        <w:tc>
          <w:tcPr>
            <w:tcW w:type="dxa" w:w="1008"/>
            <w:vAlign w:val="top"/>
            <w:tcMar>
              <w:top w:w="80" w:type="dxa"/>
              <w:bottom w:w="80" w:type="dxa"/>
              <w:start w:w="120" w:type="dxa"/>
              <w:end w:w="120" w:type="dxa"/>
            </w:tcMar>
          </w:tcPr>
          <w:p>
            <w:pPr>
              <w:spacing w:before="0" w:after="40" w:line="240" w:lineRule="auto"/>
            </w:pPr>
            <w:r>
              <w:rPr>
                <w:rFonts w:ascii="Calibri" w:hAnsi="Calibri"/>
                <w:b w:val="0"/>
                <w:color w:val="1D2630"/>
                <w:sz w:val="16"/>
              </w:rPr>
              <w:t>Lyon / sites</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6"/>
              </w:rPr>
              <w:t>ITSM / Performance &amp; Qualité IT</w:t>
            </w:r>
          </w:p>
        </w:tc>
        <w:tc>
          <w:tcPr>
            <w:tcW w:type="dxa" w:w="3384"/>
            <w:vAlign w:val="top"/>
            <w:tcMar>
              <w:top w:w="80" w:type="dxa"/>
              <w:bottom w:w="80" w:type="dxa"/>
              <w:start w:w="120" w:type="dxa"/>
              <w:end w:w="120" w:type="dxa"/>
            </w:tcMar>
          </w:tcPr>
          <w:p>
            <w:pPr>
              <w:spacing w:before="0" w:after="40" w:line="240" w:lineRule="auto"/>
            </w:pPr>
            <w:r>
              <w:rPr>
                <w:rFonts w:ascii="Calibri" w:hAnsi="Calibri"/>
                <w:b w:val="0"/>
                <w:color w:val="1D2630"/>
                <w:sz w:val="16"/>
              </w:rPr>
              <w:t>ITIL, SLA, KPI, fournisseurs, amélioration continue</w:t>
            </w:r>
          </w:p>
        </w:tc>
        <w:tc>
          <w:tcPr>
            <w:tcW w:type="dxa" w:w="936"/>
            <w:vAlign w:val="top"/>
            <w:tcMar>
              <w:top w:w="80" w:type="dxa"/>
              <w:bottom w:w="80" w:type="dxa"/>
              <w:start w:w="120" w:type="dxa"/>
              <w:end w:w="120" w:type="dxa"/>
            </w:tcMar>
          </w:tcPr>
          <w:p>
            <w:pPr>
              <w:spacing w:before="0" w:after="40" w:line="240" w:lineRule="auto"/>
            </w:pPr>
            <w:r>
              <w:rPr>
                <w:rFonts w:ascii="Calibri" w:hAnsi="Calibri"/>
                <w:b w:val="0"/>
                <w:color w:val="1D2630"/>
                <w:sz w:val="16"/>
              </w:rPr>
              <w:t>6-10 ans</w:t>
            </w:r>
          </w:p>
        </w:tc>
        <w:tc>
          <w:tcPr>
            <w:tcW w:type="dxa" w:w="1656"/>
            <w:vAlign w:val="top"/>
            <w:tcMar>
              <w:top w:w="80" w:type="dxa"/>
              <w:bottom w:w="80" w:type="dxa"/>
              <w:start w:w="120" w:type="dxa"/>
              <w:end w:w="120" w:type="dxa"/>
            </w:tcMar>
          </w:tcPr>
          <w:p>
            <w:pPr>
              <w:spacing w:before="0" w:after="40" w:line="240" w:lineRule="auto"/>
            </w:pPr>
            <w:r>
              <w:rPr>
                <w:rFonts w:ascii="Calibri" w:hAnsi="Calibri"/>
                <w:b w:val="0"/>
                <w:color w:val="1D2630"/>
                <w:sz w:val="16"/>
              </w:rPr>
              <w:t>550-750 €</w:t>
            </w:r>
          </w:p>
        </w:tc>
        <w:tc>
          <w:tcPr>
            <w:tcW w:type="dxa" w:w="1008"/>
            <w:vAlign w:val="top"/>
            <w:tcMar>
              <w:top w:w="80" w:type="dxa"/>
              <w:bottom w:w="80" w:type="dxa"/>
              <w:start w:w="120" w:type="dxa"/>
              <w:end w:w="120" w:type="dxa"/>
            </w:tcMar>
          </w:tcPr>
          <w:p>
            <w:pPr>
              <w:spacing w:before="0" w:after="40" w:line="240" w:lineRule="auto"/>
            </w:pPr>
            <w:r>
              <w:rPr>
                <w:rFonts w:ascii="Calibri" w:hAnsi="Calibri"/>
                <w:b w:val="0"/>
                <w:color w:val="1D2630"/>
                <w:sz w:val="16"/>
              </w:rPr>
              <w:t>Ferrières / Lyon</w:t>
            </w:r>
          </w:p>
        </w:tc>
      </w:tr>
    </w:tbl>
    <w:p>
      <w:pPr>
        <w:spacing w:after="0"/>
      </w:pPr>
    </w:p>
    <w:p>
      <w:pPr>
        <w:pStyle w:val="SmallNote"/>
      </w:pPr>
      <w:r>
        <w:t>TJM indicatifs hors frais, à valider selon séniorité, localisation, rareté Blue Yonder et contraintes du panel achats Kuehne+Nagel.</w:t>
      </w:r>
    </w:p>
    <w:p>
      <w:pPr>
        <w:pStyle w:val="Heading2"/>
      </w:pPr>
      <w:r>
        <w:t>6.1 Critères de sélection obligatoires</w:t>
      </w:r>
    </w:p>
    <w:p>
      <w:pPr>
        <w:pStyle w:val="ListBullet"/>
      </w:pPr>
      <w:r>
        <w:rPr>
          <w:rFonts w:ascii="Calibri" w:hAnsi="Calibri"/>
          <w:color w:val="1D2630"/>
        </w:rPr>
        <w:t>Expérience concrète de déploiement WMS/TMS/EDI en logistique, transport, retail ou industrie.</w:t>
      </w:r>
    </w:p>
    <w:p>
      <w:pPr>
        <w:pStyle w:val="ListBullet"/>
      </w:pPr>
      <w:r>
        <w:rPr>
          <w:rFonts w:ascii="Calibri" w:hAnsi="Calibri"/>
          <w:color w:val="1D2630"/>
        </w:rPr>
        <w:t>Missions majoritairement supérieures à un an ; pénaliser les successions de missions courtes non expliquées.</w:t>
      </w:r>
    </w:p>
    <w:p>
      <w:pPr>
        <w:pStyle w:val="ListBullet"/>
      </w:pPr>
      <w:r>
        <w:rPr>
          <w:rFonts w:ascii="Calibri" w:hAnsi="Calibri"/>
          <w:color w:val="1D2630"/>
        </w:rPr>
        <w:t>Capacité à intervenir en environnement international et à travailler en anglais.</w:t>
      </w:r>
    </w:p>
    <w:p>
      <w:pPr>
        <w:pStyle w:val="ListBullet"/>
      </w:pPr>
      <w:r>
        <w:rPr>
          <w:rFonts w:ascii="Calibri" w:hAnsi="Calibri"/>
          <w:color w:val="1D2630"/>
        </w:rPr>
        <w:t>Expérience multisites, gestion de bascule et continuité de service.</w:t>
      </w:r>
    </w:p>
    <w:p>
      <w:pPr>
        <w:pStyle w:val="ListBullet"/>
      </w:pPr>
      <w:r>
        <w:rPr>
          <w:rFonts w:ascii="Calibri" w:hAnsi="Calibri"/>
          <w:color w:val="1D2630"/>
        </w:rPr>
        <w:t>Mobilité réelle vers Ferrières-en-Brie, Lyon, Villefranche-sur-Saône ou les sites clients.</w:t>
      </w:r>
    </w:p>
    <w:p>
      <w:pPr>
        <w:pStyle w:val="ListBullet"/>
      </w:pPr>
      <w:r>
        <w:rPr>
          <w:rFonts w:ascii="Calibri" w:hAnsi="Calibri"/>
          <w:color w:val="1D2630"/>
        </w:rPr>
        <w:t>Références vérifiables et impacts mesurables : délais, incidents, productivité, qualité de données.</w:t>
      </w:r>
    </w:p>
    <w:p>
      <w:pPr>
        <w:pStyle w:val="Heading2"/>
      </w:pPr>
      <w:r>
        <w:t>6.2 Requêtes de sourcing recommandées</w:t>
      </w:r>
    </w:p>
    <w:tbl>
      <w:tblPr>
        <w:tblW w:type="dxa" w:w="9360"/>
        <w:jc w:val="left"/>
        <w:tblLayout w:type="fixed"/>
        <w:tblLook w:firstColumn="1" w:firstRow="1" w:lastColumn="0" w:lastRow="0" w:noHBand="0" w:noVBand="1" w:val="04A0"/>
        <w:tblInd w:type="dxa" w:w="180"/>
      </w:tblPr>
      <w:tblGrid>
        <w:gridCol w:w="9360"/>
      </w:tblGrid>
      <w:tr>
        <w:trPr>
          <w:cantSplit/>
        </w:trPr>
        <w:tc>
          <w:tcPr>
            <w:tcW w:type="dxa" w:w="9360"/>
            <w:shd w:fill="F4F6F9"/>
            <w:tcBorders>
              <w:top w:val="nil"/>
              <w:left w:val="single" w:sz="20" w:color="2E74B5"/>
              <w:bottom w:val="nil"/>
              <w:right w:val="nil"/>
            </w:tcBorders>
            <w:tcMar>
              <w:top w:w="120" w:type="dxa"/>
              <w:bottom w:w="120" w:type="dxa"/>
              <w:start w:w="180" w:type="dxa"/>
              <w:end w:w="180" w:type="dxa"/>
            </w:tcMar>
          </w:tcPr>
          <w:p>
            <w:pPr>
              <w:spacing w:before="60" w:after="60"/>
            </w:pPr>
            <w:r>
              <w:rPr>
                <w:rFonts w:ascii="Calibri" w:hAnsi="Calibri"/>
                <w:b/>
                <w:color w:val="2E74B5"/>
              </w:rPr>
              <w:t xml:space="preserve">Requête WMS. </w:t>
            </w:r>
            <w:r>
              <w:rPr>
                <w:rFonts w:ascii="Calibri" w:hAnsi="Calibri"/>
                <w:color w:val="1D2630"/>
              </w:rPr>
              <w:t>("Blue Yonder" OR JDA OR RedPrairie OR WMS) AND (déploiement OR implementation OR migration OR cutover) AND (logistique OR warehouse OR entrepôt OR 3PL)</w:t>
            </w:r>
          </w:p>
        </w:tc>
      </w:tr>
    </w:tbl>
    <w:p>
      <w:pPr>
        <w:spacing w:after="0"/>
      </w:pPr>
    </w:p>
    <w:tbl>
      <w:tblPr>
        <w:tblW w:type="dxa" w:w="9360"/>
        <w:jc w:val="left"/>
        <w:tblLayout w:type="fixed"/>
        <w:tblLook w:firstColumn="1" w:firstRow="1" w:lastColumn="0" w:lastRow="0" w:noHBand="0" w:noVBand="1" w:val="04A0"/>
        <w:tblInd w:type="dxa" w:w="180"/>
      </w:tblPr>
      <w:tblGrid>
        <w:gridCol w:w="9360"/>
      </w:tblGrid>
      <w:tr>
        <w:trPr>
          <w:cantSplit/>
        </w:trPr>
        <w:tc>
          <w:tcPr>
            <w:tcW w:type="dxa" w:w="9360"/>
            <w:shd w:fill="F4F6F9"/>
            <w:tcBorders>
              <w:top w:val="nil"/>
              <w:left w:val="single" w:sz="20" w:color="2E74B5"/>
              <w:bottom w:val="nil"/>
              <w:right w:val="nil"/>
            </w:tcBorders>
            <w:tcMar>
              <w:top w:w="120" w:type="dxa"/>
              <w:bottom w:w="120" w:type="dxa"/>
              <w:start w:w="180" w:type="dxa"/>
              <w:end w:w="180" w:type="dxa"/>
            </w:tcMar>
          </w:tcPr>
          <w:p>
            <w:pPr>
              <w:spacing w:before="60" w:after="60"/>
            </w:pPr>
            <w:r>
              <w:rPr>
                <w:rFonts w:ascii="Calibri" w:hAnsi="Calibri"/>
                <w:b/>
                <w:color w:val="2E74B5"/>
              </w:rPr>
              <w:t xml:space="preserve">Requête EDI. </w:t>
            </w:r>
            <w:r>
              <w:rPr>
                <w:rFonts w:ascii="Calibri" w:hAnsi="Calibri"/>
                <w:color w:val="1D2630"/>
              </w:rPr>
              <w:t>(EDI OR EDIFACT OR API OR middleware OR integration) AND (transport OR logistique OR supply chain) AND (chef de projet OR architecte OR expert)</w:t>
            </w:r>
          </w:p>
        </w:tc>
      </w:tr>
    </w:tbl>
    <w:p>
      <w:pPr>
        <w:spacing w:after="0"/>
      </w:pPr>
    </w:p>
    <w:tbl>
      <w:tblPr>
        <w:tblW w:type="dxa" w:w="9360"/>
        <w:jc w:val="left"/>
        <w:tblLayout w:type="fixed"/>
        <w:tblLook w:firstColumn="1" w:firstRow="1" w:lastColumn="0" w:lastRow="0" w:noHBand="0" w:noVBand="1" w:val="04A0"/>
        <w:tblInd w:type="dxa" w:w="180"/>
      </w:tblPr>
      <w:tblGrid>
        <w:gridCol w:w="9360"/>
      </w:tblGrid>
      <w:tr>
        <w:trPr>
          <w:cantSplit/>
        </w:trPr>
        <w:tc>
          <w:tcPr>
            <w:tcW w:type="dxa" w:w="9360"/>
            <w:shd w:fill="F4F6F9"/>
            <w:tcBorders>
              <w:top w:val="nil"/>
              <w:left w:val="single" w:sz="20" w:color="2E74B5"/>
              <w:bottom w:val="nil"/>
              <w:right w:val="nil"/>
            </w:tcBorders>
            <w:tcMar>
              <w:top w:w="120" w:type="dxa"/>
              <w:bottom w:w="120" w:type="dxa"/>
              <w:start w:w="180" w:type="dxa"/>
              <w:end w:w="180" w:type="dxa"/>
            </w:tcMar>
          </w:tcPr>
          <w:p>
            <w:pPr>
              <w:spacing w:before="60" w:after="60"/>
            </w:pPr>
            <w:r>
              <w:rPr>
                <w:rFonts w:ascii="Calibri" w:hAnsi="Calibri"/>
                <w:b/>
                <w:color w:val="2E74B5"/>
              </w:rPr>
              <w:t xml:space="preserve">Requête data. </w:t>
            </w:r>
            <w:r>
              <w:rPr>
                <w:rFonts w:ascii="Calibri" w:hAnsi="Calibri"/>
                <w:color w:val="1D2630"/>
              </w:rPr>
              <w:t>(data migration OR reprise de données OR data quality) AND (WMS OR TMS OR ERP) AND (logistique OR transport OR supply chain)</w:t>
            </w:r>
          </w:p>
        </w:tc>
      </w:tr>
    </w:tbl>
    <w:p>
      <w:pPr>
        <w:spacing w:after="0"/>
      </w:pPr>
    </w:p>
    <w:p>
      <w:pPr>
        <w:pStyle w:val="Heading2"/>
      </w:pPr>
      <w:r>
        <w:t>6.3 Vivier préventif à constituer</w:t>
      </w:r>
    </w:p>
    <w:tbl>
      <w:tblPr>
        <w:tblStyle w:val="TableGrid"/>
        <w:tblW w:type="dxa" w:w="9360"/>
        <w:jc w:val="left"/>
        <w:tblLayout w:type="fixed"/>
        <w:tblLook w:firstColumn="1" w:firstRow="1" w:lastColumn="0" w:lastRow="0" w:noHBand="0" w:noVBand="1" w:val="04A0"/>
        <w:tblInd w:type="dxa" w:w="120"/>
      </w:tblPr>
      <w:tblGrid>
        <w:gridCol w:w="2088"/>
        <w:gridCol w:w="1368"/>
        <w:gridCol w:w="936"/>
        <w:gridCol w:w="4968"/>
      </w:tblGrid>
      <w:tr>
        <w:trPr>
          <w:tblHeader w:val="true"/>
          <w:cantSplit/>
        </w:trPr>
        <w:tc>
          <w:tcPr>
            <w:tcW w:type="dxa" w:w="2088"/>
            <w:shd w:fill="F2F4F7"/>
            <w:vAlign w:val="center"/>
            <w:tcMar>
              <w:top w:w="80" w:type="dxa"/>
              <w:bottom w:w="80" w:type="dxa"/>
              <w:start w:w="120" w:type="dxa"/>
              <w:end w:w="120" w:type="dxa"/>
            </w:tcMar>
          </w:tcPr>
          <w:p>
            <w:pPr>
              <w:spacing w:before="20" w:after="20"/>
            </w:pPr>
            <w:r>
              <w:rPr>
                <w:rFonts w:ascii="Calibri" w:hAnsi="Calibri"/>
                <w:b/>
                <w:color w:val="0B2545"/>
                <w:sz w:val="19"/>
              </w:rPr>
              <w:t>Famille</w:t>
            </w:r>
          </w:p>
        </w:tc>
        <w:tc>
          <w:tcPr>
            <w:tcW w:type="dxa" w:w="1368"/>
            <w:shd w:fill="F2F4F7"/>
            <w:vAlign w:val="center"/>
            <w:tcMar>
              <w:top w:w="80" w:type="dxa"/>
              <w:bottom w:w="80" w:type="dxa"/>
              <w:start w:w="120" w:type="dxa"/>
              <w:end w:w="120" w:type="dxa"/>
            </w:tcMar>
          </w:tcPr>
          <w:p>
            <w:pPr>
              <w:spacing w:before="20" w:after="20"/>
            </w:pPr>
            <w:r>
              <w:rPr>
                <w:rFonts w:ascii="Calibri" w:hAnsi="Calibri"/>
                <w:b/>
                <w:color w:val="0B2545"/>
                <w:sz w:val="19"/>
              </w:rPr>
              <w:t>Volume cible</w:t>
            </w:r>
          </w:p>
        </w:tc>
        <w:tc>
          <w:tcPr>
            <w:tcW w:type="dxa" w:w="936"/>
            <w:shd w:fill="F2F4F7"/>
            <w:vAlign w:val="center"/>
            <w:tcMar>
              <w:top w:w="80" w:type="dxa"/>
              <w:bottom w:w="80" w:type="dxa"/>
              <w:start w:w="120" w:type="dxa"/>
              <w:end w:w="120" w:type="dxa"/>
            </w:tcMar>
          </w:tcPr>
          <w:p>
            <w:pPr>
              <w:spacing w:before="20" w:after="20"/>
            </w:pPr>
            <w:r>
              <w:rPr>
                <w:rFonts w:ascii="Calibri" w:hAnsi="Calibri"/>
                <w:b/>
                <w:color w:val="0B2545"/>
                <w:sz w:val="19"/>
              </w:rPr>
              <w:t>Priorité</w:t>
            </w:r>
          </w:p>
        </w:tc>
        <w:tc>
          <w:tcPr>
            <w:tcW w:type="dxa" w:w="4968"/>
            <w:shd w:fill="F2F4F7"/>
            <w:vAlign w:val="center"/>
            <w:tcMar>
              <w:top w:w="80" w:type="dxa"/>
              <w:bottom w:w="80" w:type="dxa"/>
              <w:start w:w="120" w:type="dxa"/>
              <w:end w:w="120" w:type="dxa"/>
            </w:tcMar>
          </w:tcPr>
          <w:p>
            <w:pPr>
              <w:spacing w:before="20" w:after="20"/>
            </w:pPr>
            <w:r>
              <w:rPr>
                <w:rFonts w:ascii="Calibri" w:hAnsi="Calibri"/>
                <w:b/>
                <w:color w:val="0B2545"/>
                <w:sz w:val="19"/>
              </w:rPr>
              <w:t>Données SmartRecruiters à renseigner</w:t>
            </w:r>
          </w:p>
        </w:tc>
      </w:tr>
      <w:tr>
        <w:trPr>
          <w:cantSplit/>
        </w:trPr>
        <w:tc>
          <w:tcPr>
            <w:tcW w:type="dxa" w:w="2088"/>
            <w:vAlign w:val="top"/>
            <w:tcMar>
              <w:top w:w="80" w:type="dxa"/>
              <w:bottom w:w="80" w:type="dxa"/>
              <w:start w:w="120" w:type="dxa"/>
              <w:end w:w="120" w:type="dxa"/>
            </w:tcMar>
          </w:tcPr>
          <w:p>
            <w:pPr>
              <w:spacing w:before="0" w:after="40" w:line="240" w:lineRule="auto"/>
            </w:pPr>
            <w:r>
              <w:rPr>
                <w:rFonts w:ascii="Calibri" w:hAnsi="Calibri"/>
                <w:b/>
                <w:color w:val="1D2630"/>
                <w:sz w:val="19"/>
              </w:rPr>
              <w:t>WMS / Blue Yonder</w:t>
            </w:r>
          </w:p>
        </w:tc>
        <w:tc>
          <w:tcPr>
            <w:tcW w:type="dxa" w:w="1368"/>
            <w:vAlign w:val="top"/>
            <w:tcMar>
              <w:top w:w="80" w:type="dxa"/>
              <w:bottom w:w="80" w:type="dxa"/>
              <w:start w:w="120" w:type="dxa"/>
              <w:end w:w="120" w:type="dxa"/>
            </w:tcMar>
          </w:tcPr>
          <w:p>
            <w:pPr>
              <w:spacing w:before="0" w:after="40" w:line="240" w:lineRule="auto"/>
            </w:pPr>
            <w:r>
              <w:rPr>
                <w:rFonts w:ascii="Calibri" w:hAnsi="Calibri"/>
                <w:b w:val="0"/>
                <w:color w:val="1D2630"/>
                <w:sz w:val="19"/>
              </w:rPr>
              <w:t>5 profils</w:t>
            </w:r>
          </w:p>
        </w:tc>
        <w:tc>
          <w:tcPr>
            <w:tcW w:type="dxa" w:w="936"/>
            <w:vAlign w:val="top"/>
            <w:tcMar>
              <w:top w:w="80" w:type="dxa"/>
              <w:bottom w:w="80" w:type="dxa"/>
              <w:start w:w="120" w:type="dxa"/>
              <w:end w:w="120" w:type="dxa"/>
            </w:tcMar>
          </w:tcPr>
          <w:p>
            <w:pPr>
              <w:spacing w:before="0" w:after="40" w:line="240" w:lineRule="auto"/>
            </w:pPr>
            <w:r>
              <w:rPr>
                <w:rFonts w:ascii="Calibri" w:hAnsi="Calibri"/>
                <w:b w:val="0"/>
                <w:color w:val="1D2630"/>
                <w:sz w:val="19"/>
              </w:rPr>
              <w:t>P1</w:t>
            </w:r>
          </w:p>
        </w:tc>
        <w:tc>
          <w:tcPr>
            <w:tcW w:type="dxa" w:w="4968"/>
            <w:vAlign w:val="top"/>
            <w:tcMar>
              <w:top w:w="80" w:type="dxa"/>
              <w:bottom w:w="80" w:type="dxa"/>
              <w:start w:w="120" w:type="dxa"/>
              <w:end w:w="120" w:type="dxa"/>
            </w:tcMar>
          </w:tcPr>
          <w:p>
            <w:pPr>
              <w:spacing w:before="0" w:after="40" w:line="240" w:lineRule="auto"/>
            </w:pPr>
            <w:r>
              <w:rPr>
                <w:rFonts w:ascii="Calibri" w:hAnsi="Calibri"/>
                <w:b w:val="0"/>
                <w:color w:val="1D2630"/>
                <w:sz w:val="19"/>
              </w:rPr>
              <w:t>Produit, versions, sites, responsabilités, disponibilité, mobilité, TJM</w:t>
            </w:r>
          </w:p>
        </w:tc>
      </w:tr>
      <w:tr>
        <w:trPr>
          <w:cantSplit/>
        </w:trPr>
        <w:tc>
          <w:tcPr>
            <w:tcW w:type="dxa" w:w="2088"/>
            <w:vAlign w:val="top"/>
            <w:tcMar>
              <w:top w:w="80" w:type="dxa"/>
              <w:bottom w:w="80" w:type="dxa"/>
              <w:start w:w="120" w:type="dxa"/>
              <w:end w:w="120" w:type="dxa"/>
            </w:tcMar>
          </w:tcPr>
          <w:p>
            <w:pPr>
              <w:spacing w:before="0" w:after="40" w:line="240" w:lineRule="auto"/>
            </w:pPr>
            <w:r>
              <w:rPr>
                <w:rFonts w:ascii="Calibri" w:hAnsi="Calibri"/>
                <w:b/>
                <w:color w:val="1D2630"/>
                <w:sz w:val="19"/>
              </w:rPr>
              <w:t>EDI / intégration</w:t>
            </w:r>
          </w:p>
        </w:tc>
        <w:tc>
          <w:tcPr>
            <w:tcW w:type="dxa" w:w="1368"/>
            <w:vAlign w:val="top"/>
            <w:tcMar>
              <w:top w:w="80" w:type="dxa"/>
              <w:bottom w:w="80" w:type="dxa"/>
              <w:start w:w="120" w:type="dxa"/>
              <w:end w:w="120" w:type="dxa"/>
            </w:tcMar>
          </w:tcPr>
          <w:p>
            <w:pPr>
              <w:spacing w:before="0" w:after="40" w:line="240" w:lineRule="auto"/>
            </w:pPr>
            <w:r>
              <w:rPr>
                <w:rFonts w:ascii="Calibri" w:hAnsi="Calibri"/>
                <w:b w:val="0"/>
                <w:color w:val="1D2630"/>
                <w:sz w:val="19"/>
              </w:rPr>
              <w:t>3 profils</w:t>
            </w:r>
          </w:p>
        </w:tc>
        <w:tc>
          <w:tcPr>
            <w:tcW w:type="dxa" w:w="936"/>
            <w:vAlign w:val="top"/>
            <w:tcMar>
              <w:top w:w="80" w:type="dxa"/>
              <w:bottom w:w="80" w:type="dxa"/>
              <w:start w:w="120" w:type="dxa"/>
              <w:end w:w="120" w:type="dxa"/>
            </w:tcMar>
          </w:tcPr>
          <w:p>
            <w:pPr>
              <w:spacing w:before="0" w:after="40" w:line="240" w:lineRule="auto"/>
            </w:pPr>
            <w:r>
              <w:rPr>
                <w:rFonts w:ascii="Calibri" w:hAnsi="Calibri"/>
                <w:b w:val="0"/>
                <w:color w:val="1D2630"/>
                <w:sz w:val="19"/>
              </w:rPr>
              <w:t>P1</w:t>
            </w:r>
          </w:p>
        </w:tc>
        <w:tc>
          <w:tcPr>
            <w:tcW w:type="dxa" w:w="4968"/>
            <w:vAlign w:val="top"/>
            <w:tcMar>
              <w:top w:w="80" w:type="dxa"/>
              <w:bottom w:w="80" w:type="dxa"/>
              <w:start w:w="120" w:type="dxa"/>
              <w:end w:w="120" w:type="dxa"/>
            </w:tcMar>
          </w:tcPr>
          <w:p>
            <w:pPr>
              <w:spacing w:before="0" w:after="40" w:line="240" w:lineRule="auto"/>
            </w:pPr>
            <w:r>
              <w:rPr>
                <w:rFonts w:ascii="Calibri" w:hAnsi="Calibri"/>
                <w:b w:val="0"/>
                <w:color w:val="1D2630"/>
                <w:sz w:val="19"/>
              </w:rPr>
              <w:t>Protocoles, middleware, API, contexte logistique, anglais</w:t>
            </w:r>
          </w:p>
        </w:tc>
      </w:tr>
      <w:tr>
        <w:trPr>
          <w:cantSplit/>
        </w:trPr>
        <w:tc>
          <w:tcPr>
            <w:tcW w:type="dxa" w:w="2088"/>
            <w:vAlign w:val="top"/>
            <w:tcMar>
              <w:top w:w="80" w:type="dxa"/>
              <w:bottom w:w="80" w:type="dxa"/>
              <w:start w:w="120" w:type="dxa"/>
              <w:end w:w="120" w:type="dxa"/>
            </w:tcMar>
          </w:tcPr>
          <w:p>
            <w:pPr>
              <w:spacing w:before="0" w:after="40" w:line="240" w:lineRule="auto"/>
            </w:pPr>
            <w:r>
              <w:rPr>
                <w:rFonts w:ascii="Calibri" w:hAnsi="Calibri"/>
                <w:b/>
                <w:color w:val="1D2630"/>
                <w:sz w:val="19"/>
              </w:rPr>
              <w:t>PMO / cutover / tests</w:t>
            </w:r>
          </w:p>
        </w:tc>
        <w:tc>
          <w:tcPr>
            <w:tcW w:type="dxa" w:w="1368"/>
            <w:vAlign w:val="top"/>
            <w:tcMar>
              <w:top w:w="80" w:type="dxa"/>
              <w:bottom w:w="80" w:type="dxa"/>
              <w:start w:w="120" w:type="dxa"/>
              <w:end w:w="120" w:type="dxa"/>
            </w:tcMar>
          </w:tcPr>
          <w:p>
            <w:pPr>
              <w:spacing w:before="0" w:after="40" w:line="240" w:lineRule="auto"/>
            </w:pPr>
            <w:r>
              <w:rPr>
                <w:rFonts w:ascii="Calibri" w:hAnsi="Calibri"/>
                <w:b w:val="0"/>
                <w:color w:val="1D2630"/>
                <w:sz w:val="19"/>
              </w:rPr>
              <w:t>4 profils</w:t>
            </w:r>
          </w:p>
        </w:tc>
        <w:tc>
          <w:tcPr>
            <w:tcW w:type="dxa" w:w="936"/>
            <w:vAlign w:val="top"/>
            <w:tcMar>
              <w:top w:w="80" w:type="dxa"/>
              <w:bottom w:w="80" w:type="dxa"/>
              <w:start w:w="120" w:type="dxa"/>
              <w:end w:w="120" w:type="dxa"/>
            </w:tcMar>
          </w:tcPr>
          <w:p>
            <w:pPr>
              <w:spacing w:before="0" w:after="40" w:line="240" w:lineRule="auto"/>
            </w:pPr>
            <w:r>
              <w:rPr>
                <w:rFonts w:ascii="Calibri" w:hAnsi="Calibri"/>
                <w:b w:val="0"/>
                <w:color w:val="1D2630"/>
                <w:sz w:val="19"/>
              </w:rPr>
              <w:t>P1</w:t>
            </w:r>
          </w:p>
        </w:tc>
        <w:tc>
          <w:tcPr>
            <w:tcW w:type="dxa" w:w="4968"/>
            <w:vAlign w:val="top"/>
            <w:tcMar>
              <w:top w:w="80" w:type="dxa"/>
              <w:bottom w:w="80" w:type="dxa"/>
              <w:start w:w="120" w:type="dxa"/>
              <w:end w:w="120" w:type="dxa"/>
            </w:tcMar>
          </w:tcPr>
          <w:p>
            <w:pPr>
              <w:spacing w:before="0" w:after="40" w:line="240" w:lineRule="auto"/>
            </w:pPr>
            <w:r>
              <w:rPr>
                <w:rFonts w:ascii="Calibri" w:hAnsi="Calibri"/>
                <w:b w:val="0"/>
                <w:color w:val="1D2630"/>
                <w:sz w:val="19"/>
              </w:rPr>
              <w:t>Type de programme, nombre de sites, méthodes, outils, résultats</w:t>
            </w:r>
          </w:p>
        </w:tc>
      </w:tr>
      <w:tr>
        <w:trPr>
          <w:cantSplit/>
        </w:trPr>
        <w:tc>
          <w:tcPr>
            <w:tcW w:type="dxa" w:w="2088"/>
            <w:vAlign w:val="top"/>
            <w:tcMar>
              <w:top w:w="80" w:type="dxa"/>
              <w:bottom w:w="80" w:type="dxa"/>
              <w:start w:w="120" w:type="dxa"/>
              <w:end w:w="120" w:type="dxa"/>
            </w:tcMar>
          </w:tcPr>
          <w:p>
            <w:pPr>
              <w:spacing w:before="0" w:after="40" w:line="240" w:lineRule="auto"/>
            </w:pPr>
            <w:r>
              <w:rPr>
                <w:rFonts w:ascii="Calibri" w:hAnsi="Calibri"/>
                <w:b/>
                <w:color w:val="1D2630"/>
                <w:sz w:val="19"/>
              </w:rPr>
              <w:t>Data / cloud / cyber</w:t>
            </w:r>
          </w:p>
        </w:tc>
        <w:tc>
          <w:tcPr>
            <w:tcW w:type="dxa" w:w="1368"/>
            <w:vAlign w:val="top"/>
            <w:tcMar>
              <w:top w:w="80" w:type="dxa"/>
              <w:bottom w:w="80" w:type="dxa"/>
              <w:start w:w="120" w:type="dxa"/>
              <w:end w:w="120" w:type="dxa"/>
            </w:tcMar>
          </w:tcPr>
          <w:p>
            <w:pPr>
              <w:spacing w:before="0" w:after="40" w:line="240" w:lineRule="auto"/>
            </w:pPr>
            <w:r>
              <w:rPr>
                <w:rFonts w:ascii="Calibri" w:hAnsi="Calibri"/>
                <w:b w:val="0"/>
                <w:color w:val="1D2630"/>
                <w:sz w:val="19"/>
              </w:rPr>
              <w:t>4 profils</w:t>
            </w:r>
          </w:p>
        </w:tc>
        <w:tc>
          <w:tcPr>
            <w:tcW w:type="dxa" w:w="936"/>
            <w:vAlign w:val="top"/>
            <w:tcMar>
              <w:top w:w="80" w:type="dxa"/>
              <w:bottom w:w="80" w:type="dxa"/>
              <w:start w:w="120" w:type="dxa"/>
              <w:end w:w="120" w:type="dxa"/>
            </w:tcMar>
          </w:tcPr>
          <w:p>
            <w:pPr>
              <w:spacing w:before="0" w:after="40" w:line="240" w:lineRule="auto"/>
            </w:pPr>
            <w:r>
              <w:rPr>
                <w:rFonts w:ascii="Calibri" w:hAnsi="Calibri"/>
                <w:b w:val="0"/>
                <w:color w:val="1D2630"/>
                <w:sz w:val="19"/>
              </w:rPr>
              <w:t>P2</w:t>
            </w:r>
          </w:p>
        </w:tc>
        <w:tc>
          <w:tcPr>
            <w:tcW w:type="dxa" w:w="4968"/>
            <w:vAlign w:val="top"/>
            <w:tcMar>
              <w:top w:w="80" w:type="dxa"/>
              <w:bottom w:w="80" w:type="dxa"/>
              <w:start w:w="120" w:type="dxa"/>
              <w:end w:w="120" w:type="dxa"/>
            </w:tcMar>
          </w:tcPr>
          <w:p>
            <w:pPr>
              <w:spacing w:before="0" w:after="40" w:line="240" w:lineRule="auto"/>
            </w:pPr>
            <w:r>
              <w:rPr>
                <w:rFonts w:ascii="Calibri" w:hAnsi="Calibri"/>
                <w:b w:val="0"/>
                <w:color w:val="1D2630"/>
                <w:sz w:val="19"/>
              </w:rPr>
              <w:t>Cloud, stack, sécurité, certifications, secteur, TJM</w:t>
            </w:r>
          </w:p>
        </w:tc>
      </w:tr>
      <w:tr>
        <w:trPr>
          <w:cantSplit/>
        </w:trPr>
        <w:tc>
          <w:tcPr>
            <w:tcW w:type="dxa" w:w="2088"/>
            <w:vAlign w:val="top"/>
            <w:tcMar>
              <w:top w:w="80" w:type="dxa"/>
              <w:bottom w:w="80" w:type="dxa"/>
              <w:start w:w="120" w:type="dxa"/>
              <w:end w:w="120" w:type="dxa"/>
            </w:tcMar>
          </w:tcPr>
          <w:p>
            <w:pPr>
              <w:spacing w:before="0" w:after="40" w:line="240" w:lineRule="auto"/>
            </w:pPr>
            <w:r>
              <w:rPr>
                <w:rFonts w:ascii="Calibri" w:hAnsi="Calibri"/>
                <w:b/>
                <w:color w:val="1D2630"/>
                <w:sz w:val="19"/>
              </w:rPr>
              <w:t>Change / support</w:t>
            </w:r>
          </w:p>
        </w:tc>
        <w:tc>
          <w:tcPr>
            <w:tcW w:type="dxa" w:w="1368"/>
            <w:vAlign w:val="top"/>
            <w:tcMar>
              <w:top w:w="80" w:type="dxa"/>
              <w:bottom w:w="80" w:type="dxa"/>
              <w:start w:w="120" w:type="dxa"/>
              <w:end w:w="120" w:type="dxa"/>
            </w:tcMar>
          </w:tcPr>
          <w:p>
            <w:pPr>
              <w:spacing w:before="0" w:after="40" w:line="240" w:lineRule="auto"/>
            </w:pPr>
            <w:r>
              <w:rPr>
                <w:rFonts w:ascii="Calibri" w:hAnsi="Calibri"/>
                <w:b w:val="0"/>
                <w:color w:val="1D2630"/>
                <w:sz w:val="19"/>
              </w:rPr>
              <w:t>3 profils</w:t>
            </w:r>
          </w:p>
        </w:tc>
        <w:tc>
          <w:tcPr>
            <w:tcW w:type="dxa" w:w="936"/>
            <w:vAlign w:val="top"/>
            <w:tcMar>
              <w:top w:w="80" w:type="dxa"/>
              <w:bottom w:w="80" w:type="dxa"/>
              <w:start w:w="120" w:type="dxa"/>
              <w:end w:w="120" w:type="dxa"/>
            </w:tcMar>
          </w:tcPr>
          <w:p>
            <w:pPr>
              <w:spacing w:before="0" w:after="40" w:line="240" w:lineRule="auto"/>
            </w:pPr>
            <w:r>
              <w:rPr>
                <w:rFonts w:ascii="Calibri" w:hAnsi="Calibri"/>
                <w:b w:val="0"/>
                <w:color w:val="1D2630"/>
                <w:sz w:val="19"/>
              </w:rPr>
              <w:t>P2</w:t>
            </w:r>
          </w:p>
        </w:tc>
        <w:tc>
          <w:tcPr>
            <w:tcW w:type="dxa" w:w="4968"/>
            <w:vAlign w:val="top"/>
            <w:tcMar>
              <w:top w:w="80" w:type="dxa"/>
              <w:bottom w:w="80" w:type="dxa"/>
              <w:start w:w="120" w:type="dxa"/>
              <w:end w:w="120" w:type="dxa"/>
            </w:tcMar>
          </w:tcPr>
          <w:p>
            <w:pPr>
              <w:spacing w:before="0" w:after="40" w:line="240" w:lineRule="auto"/>
            </w:pPr>
            <w:r>
              <w:rPr>
                <w:rFonts w:ascii="Calibri" w:hAnsi="Calibri"/>
                <w:b w:val="0"/>
                <w:color w:val="1D2630"/>
                <w:sz w:val="19"/>
              </w:rPr>
              <w:t>Mobilité, horaires, formation, hypercare, SLA</w:t>
            </w:r>
          </w:p>
        </w:tc>
      </w:tr>
    </w:tbl>
    <w:p>
      <w:pPr>
        <w:spacing w:after="0"/>
      </w:pPr>
    </w:p>
    <w:p>
      <w:pPr>
        <w:pStyle w:val="Heading1"/>
      </w:pPr>
      <w:r>
        <w:t>7. Stratégie de pénétration du compte</w:t>
      </w:r>
    </w:p>
    <w:p>
      <w:pPr>
        <w:pStyle w:val="Heading2"/>
      </w:pPr>
      <w:r>
        <w:t>7.1 Positionnement commercial</w:t>
      </w:r>
    </w:p>
    <w:tbl>
      <w:tblPr>
        <w:tblW w:type="dxa" w:w="9360"/>
        <w:jc w:val="left"/>
        <w:tblLayout w:type="fixed"/>
        <w:tblLook w:firstColumn="1" w:firstRow="1" w:lastColumn="0" w:lastRow="0" w:noHBand="0" w:noVBand="1" w:val="04A0"/>
        <w:tblInd w:type="dxa" w:w="180"/>
      </w:tblPr>
      <w:tblGrid>
        <w:gridCol w:w="9360"/>
      </w:tblGrid>
      <w:tr>
        <w:trPr>
          <w:cantSplit/>
        </w:trPr>
        <w:tc>
          <w:tcPr>
            <w:tcW w:type="dxa" w:w="9360"/>
            <w:shd w:fill="E8EEF5"/>
            <w:tcBorders>
              <w:top w:val="nil"/>
              <w:left w:val="single" w:sz="20" w:color="0B7285"/>
              <w:bottom w:val="nil"/>
              <w:right w:val="nil"/>
            </w:tcBorders>
            <w:tcMar>
              <w:top w:w="120" w:type="dxa"/>
              <w:bottom w:w="120" w:type="dxa"/>
              <w:start w:w="180" w:type="dxa"/>
              <w:end w:w="180" w:type="dxa"/>
            </w:tcMar>
          </w:tcPr>
          <w:p>
            <w:pPr>
              <w:spacing w:before="60" w:after="60"/>
            </w:pPr>
            <w:r>
              <w:rPr>
                <w:rFonts w:ascii="Calibri" w:hAnsi="Calibri"/>
                <w:b/>
                <w:color w:val="0B7285"/>
              </w:rPr>
              <w:t xml:space="preserve">Proposition de valeur. </w:t>
            </w:r>
            <w:r>
              <w:rPr>
                <w:rFonts w:ascii="Calibri" w:hAnsi="Calibri"/>
                <w:color w:val="1D2630"/>
              </w:rPr>
              <w:t>Tilencia est un business partner capable de relier le besoin métier, la réalité IT et l'exigence achats. Nous intervenons en amont pour qualifier le besoin, construire un vivier préventif, sélectionner les bons profils et sécuriser le delivery avec un pilotage mesurable.</w:t>
            </w:r>
          </w:p>
        </w:tc>
      </w:tr>
    </w:tbl>
    <w:p>
      <w:pPr>
        <w:spacing w:after="0"/>
      </w:pPr>
    </w:p>
    <w:p>
      <w:pPr>
        <w:pStyle w:val="Heading2"/>
      </w:pPr>
      <w:r>
        <w:t>7.2 Angle d'attaque n°1 - Sécuriser les vagues WMS France</w:t>
      </w:r>
    </w:p>
    <w:p>
      <w:pPr>
        <w:pStyle w:val="ListBullet"/>
      </w:pPr>
      <w:r>
        <w:rPr>
          <w:rFonts w:ascii="Calibri" w:hAnsi="Calibri"/>
          <w:color w:val="1D2630"/>
        </w:rPr>
        <w:t>Point de départ : transformation KN SwiftLOG / Blue Yonder et déploiement par phases.</w:t>
      </w:r>
    </w:p>
    <w:p>
      <w:pPr>
        <w:pStyle w:val="ListBullet"/>
      </w:pPr>
      <w:r>
        <w:rPr>
          <w:rFonts w:ascii="Calibri" w:hAnsi="Calibri"/>
          <w:color w:val="1D2630"/>
        </w:rPr>
        <w:t>Question d'ouverture : quelles compétences doivent être apportées localement pour les sites français ?</w:t>
      </w:r>
    </w:p>
    <w:p>
      <w:pPr>
        <w:pStyle w:val="ListBullet"/>
      </w:pPr>
      <w:r>
        <w:rPr>
          <w:rFonts w:ascii="Calibri" w:hAnsi="Calibri"/>
          <w:color w:val="1D2630"/>
        </w:rPr>
        <w:t>Preuve à fournir : vivier disponible, expérience logistique, mobilité sites et méthode de pilotage.</w:t>
      </w:r>
    </w:p>
    <w:p>
      <w:pPr>
        <w:pStyle w:val="ListBullet"/>
      </w:pPr>
      <w:r>
        <w:rPr>
          <w:rFonts w:ascii="Calibri" w:hAnsi="Calibri"/>
          <w:color w:val="1D2630"/>
        </w:rPr>
        <w:t>Offre initiale : un chef de projet WMS, un expert EDI ou un test/cutover manager.</w:t>
      </w:r>
    </w:p>
    <w:p>
      <w:pPr>
        <w:pStyle w:val="Heading2"/>
      </w:pPr>
      <w:r>
        <w:t>7.3 Angle d'attaque n°2 - EDI et intégration clients</w:t>
      </w:r>
    </w:p>
    <w:p>
      <w:pPr>
        <w:pStyle w:val="ListBullet"/>
      </w:pPr>
      <w:r>
        <w:rPr>
          <w:rFonts w:ascii="Calibri" w:hAnsi="Calibri"/>
          <w:color w:val="1D2630"/>
        </w:rPr>
        <w:t>Cibler les besoins d'onboarding clients, d'interfaces ERP/WMS/TMS et de qualité des échanges.</w:t>
      </w:r>
    </w:p>
    <w:p>
      <w:pPr>
        <w:pStyle w:val="ListBullet"/>
      </w:pPr>
      <w:r>
        <w:rPr>
          <w:rFonts w:ascii="Calibri" w:hAnsi="Calibri"/>
          <w:color w:val="1D2630"/>
        </w:rPr>
        <w:t>Approcher Quentin Janin et les responsables projets ou solutions clients.</w:t>
      </w:r>
    </w:p>
    <w:p>
      <w:pPr>
        <w:pStyle w:val="ListBullet"/>
      </w:pPr>
      <w:r>
        <w:rPr>
          <w:rFonts w:ascii="Calibri" w:hAnsi="Calibri"/>
          <w:color w:val="1D2630"/>
        </w:rPr>
        <w:t>Mettre en avant la capacité à intervenir en BUILD puis en RUN avec indicateurs de qualité.</w:t>
      </w:r>
    </w:p>
    <w:p>
      <w:pPr>
        <w:pStyle w:val="Heading2"/>
      </w:pPr>
      <w:r>
        <w:t>7.4 Angle d'attaque n°3 - Performance et maîtrise des coûts</w:t>
      </w:r>
    </w:p>
    <w:p>
      <w:pPr>
        <w:pStyle w:val="ListBullet"/>
      </w:pPr>
      <w:r>
        <w:rPr>
          <w:rFonts w:ascii="Calibri" w:hAnsi="Calibri"/>
          <w:color w:val="1D2630"/>
        </w:rPr>
        <w:t>Proposer une sélection technique stricte et une justification du TJM par la valeur et le risque couvert.</w:t>
      </w:r>
    </w:p>
    <w:p>
      <w:pPr>
        <w:pStyle w:val="ListBullet"/>
      </w:pPr>
      <w:r>
        <w:rPr>
          <w:rFonts w:ascii="Calibri" w:hAnsi="Calibri"/>
          <w:color w:val="1D2630"/>
        </w:rPr>
        <w:t>Présenter un suivi consommé/commandé, jalons, livrables, incidents, satisfaction et risques.</w:t>
      </w:r>
    </w:p>
    <w:p>
      <w:pPr>
        <w:pStyle w:val="ListBullet"/>
      </w:pPr>
      <w:r>
        <w:rPr>
          <w:rFonts w:ascii="Calibri" w:hAnsi="Calibri"/>
          <w:color w:val="1D2630"/>
        </w:rPr>
        <w:t>Positionner Tilencia comme complément agile aux grands intégrateurs, non comme concurrent frontal.</w:t>
      </w:r>
    </w:p>
    <w:p>
      <w:pPr>
        <w:pStyle w:val="Heading2"/>
      </w:pPr>
      <w:r>
        <w:t>7.5 Concurrence et posture</w:t>
      </w:r>
    </w:p>
    <w:tbl>
      <w:tblPr>
        <w:tblStyle w:val="TableGrid"/>
        <w:tblW w:type="dxa" w:w="9360"/>
        <w:jc w:val="left"/>
        <w:tblLayout w:type="fixed"/>
        <w:tblLook w:firstColumn="1" w:firstRow="1" w:lastColumn="0" w:lastRow="0" w:noHBand="0" w:noVBand="1" w:val="04A0"/>
        <w:tblInd w:type="dxa" w:w="120"/>
      </w:tblPr>
      <w:tblGrid>
        <w:gridCol w:w="1944"/>
        <w:gridCol w:w="3384"/>
        <w:gridCol w:w="4032"/>
      </w:tblGrid>
      <w:tr>
        <w:trPr>
          <w:tblHeader w:val="true"/>
          <w:cantSplit/>
        </w:trPr>
        <w:tc>
          <w:tcPr>
            <w:tcW w:type="dxa" w:w="1944"/>
            <w:shd w:fill="F2F4F7"/>
            <w:vAlign w:val="center"/>
            <w:tcMar>
              <w:top w:w="80" w:type="dxa"/>
              <w:bottom w:w="80" w:type="dxa"/>
              <w:start w:w="120" w:type="dxa"/>
              <w:end w:w="120" w:type="dxa"/>
            </w:tcMar>
          </w:tcPr>
          <w:p>
            <w:pPr>
              <w:spacing w:before="20" w:after="20"/>
            </w:pPr>
            <w:r>
              <w:rPr>
                <w:rFonts w:ascii="Calibri" w:hAnsi="Calibri"/>
                <w:b/>
                <w:color w:val="0B2545"/>
                <w:sz w:val="19"/>
              </w:rPr>
              <w:t>Acteur / type</w:t>
            </w:r>
          </w:p>
        </w:tc>
        <w:tc>
          <w:tcPr>
            <w:tcW w:type="dxa" w:w="3384"/>
            <w:shd w:fill="F2F4F7"/>
            <w:vAlign w:val="center"/>
            <w:tcMar>
              <w:top w:w="80" w:type="dxa"/>
              <w:bottom w:w="80" w:type="dxa"/>
              <w:start w:w="120" w:type="dxa"/>
              <w:end w:w="120" w:type="dxa"/>
            </w:tcMar>
          </w:tcPr>
          <w:p>
            <w:pPr>
              <w:spacing w:before="20" w:after="20"/>
            </w:pPr>
            <w:r>
              <w:rPr>
                <w:rFonts w:ascii="Calibri" w:hAnsi="Calibri"/>
                <w:b/>
                <w:color w:val="0B2545"/>
                <w:sz w:val="19"/>
              </w:rPr>
              <w:t>Position visible</w:t>
            </w:r>
          </w:p>
        </w:tc>
        <w:tc>
          <w:tcPr>
            <w:tcW w:type="dxa" w:w="4032"/>
            <w:shd w:fill="F2F4F7"/>
            <w:vAlign w:val="center"/>
            <w:tcMar>
              <w:top w:w="80" w:type="dxa"/>
              <w:bottom w:w="80" w:type="dxa"/>
              <w:start w:w="120" w:type="dxa"/>
              <w:end w:w="120" w:type="dxa"/>
            </w:tcMar>
          </w:tcPr>
          <w:p>
            <w:pPr>
              <w:spacing w:before="20" w:after="20"/>
            </w:pPr>
            <w:r>
              <w:rPr>
                <w:rFonts w:ascii="Calibri" w:hAnsi="Calibri"/>
                <w:b/>
                <w:color w:val="0B2545"/>
                <w:sz w:val="19"/>
              </w:rPr>
              <w:t>Posture Tilencia</w:t>
            </w:r>
          </w:p>
        </w:tc>
      </w:tr>
      <w:tr>
        <w:trPr>
          <w:cantSplit/>
        </w:trPr>
        <w:tc>
          <w:tcPr>
            <w:tcW w:type="dxa" w:w="1944"/>
            <w:vAlign w:val="top"/>
            <w:tcMar>
              <w:top w:w="80" w:type="dxa"/>
              <w:bottom w:w="80" w:type="dxa"/>
              <w:start w:w="120" w:type="dxa"/>
              <w:end w:w="120" w:type="dxa"/>
            </w:tcMar>
          </w:tcPr>
          <w:p>
            <w:pPr>
              <w:spacing w:before="0" w:after="40" w:line="240" w:lineRule="auto"/>
            </w:pPr>
            <w:r>
              <w:rPr>
                <w:rFonts w:ascii="Calibri" w:hAnsi="Calibri"/>
                <w:b/>
                <w:color w:val="1D2630"/>
                <w:sz w:val="19"/>
              </w:rPr>
              <w:t>Blue Yonder</w:t>
            </w:r>
          </w:p>
        </w:tc>
        <w:tc>
          <w:tcPr>
            <w:tcW w:type="dxa" w:w="3384"/>
            <w:vAlign w:val="top"/>
            <w:tcMar>
              <w:top w:w="80" w:type="dxa"/>
              <w:bottom w:w="80" w:type="dxa"/>
              <w:start w:w="120" w:type="dxa"/>
              <w:end w:w="120" w:type="dxa"/>
            </w:tcMar>
          </w:tcPr>
          <w:p>
            <w:pPr>
              <w:spacing w:before="0" w:after="40" w:line="240" w:lineRule="auto"/>
            </w:pPr>
            <w:r>
              <w:rPr>
                <w:rFonts w:ascii="Calibri" w:hAnsi="Calibri"/>
                <w:b w:val="0"/>
                <w:color w:val="1D2630"/>
                <w:sz w:val="19"/>
              </w:rPr>
              <w:t>Technologie cœur de la nouvelle plateforme WMS</w:t>
            </w:r>
          </w:p>
        </w:tc>
        <w:tc>
          <w:tcPr>
            <w:tcW w:type="dxa" w:w="4032"/>
            <w:vAlign w:val="top"/>
            <w:tcMar>
              <w:top w:w="80" w:type="dxa"/>
              <w:bottom w:w="80" w:type="dxa"/>
              <w:start w:w="120" w:type="dxa"/>
              <w:end w:w="120" w:type="dxa"/>
            </w:tcMar>
          </w:tcPr>
          <w:p>
            <w:pPr>
              <w:spacing w:before="0" w:after="40" w:line="240" w:lineRule="auto"/>
            </w:pPr>
            <w:r>
              <w:rPr>
                <w:rFonts w:ascii="Calibri" w:hAnsi="Calibri"/>
                <w:b w:val="0"/>
                <w:color w:val="1D2630"/>
                <w:sz w:val="19"/>
              </w:rPr>
              <w:t>Apporter des compétences locales de déploiement, intégration et adoption.</w:t>
            </w:r>
          </w:p>
        </w:tc>
      </w:tr>
      <w:tr>
        <w:trPr>
          <w:cantSplit/>
        </w:trPr>
        <w:tc>
          <w:tcPr>
            <w:tcW w:type="dxa" w:w="1944"/>
            <w:vAlign w:val="top"/>
            <w:tcMar>
              <w:top w:w="80" w:type="dxa"/>
              <w:bottom w:w="80" w:type="dxa"/>
              <w:start w:w="120" w:type="dxa"/>
              <w:end w:w="120" w:type="dxa"/>
            </w:tcMar>
          </w:tcPr>
          <w:p>
            <w:pPr>
              <w:spacing w:before="0" w:after="40" w:line="240" w:lineRule="auto"/>
            </w:pPr>
            <w:r>
              <w:rPr>
                <w:rFonts w:ascii="Calibri" w:hAnsi="Calibri"/>
                <w:b/>
                <w:color w:val="1D2630"/>
                <w:sz w:val="19"/>
              </w:rPr>
              <w:t>AWS</w:t>
            </w:r>
          </w:p>
        </w:tc>
        <w:tc>
          <w:tcPr>
            <w:tcW w:type="dxa" w:w="3384"/>
            <w:vAlign w:val="top"/>
            <w:tcMar>
              <w:top w:w="80" w:type="dxa"/>
              <w:bottom w:w="80" w:type="dxa"/>
              <w:start w:w="120" w:type="dxa"/>
              <w:end w:w="120" w:type="dxa"/>
            </w:tcMar>
          </w:tcPr>
          <w:p>
            <w:pPr>
              <w:spacing w:before="0" w:after="40" w:line="240" w:lineRule="auto"/>
            </w:pPr>
            <w:r>
              <w:rPr>
                <w:rFonts w:ascii="Calibri" w:hAnsi="Calibri"/>
                <w:b w:val="0"/>
                <w:color w:val="1D2630"/>
                <w:sz w:val="19"/>
              </w:rPr>
              <w:t>Socle cloud et plateforme IA</w:t>
            </w:r>
          </w:p>
        </w:tc>
        <w:tc>
          <w:tcPr>
            <w:tcW w:type="dxa" w:w="4032"/>
            <w:vAlign w:val="top"/>
            <w:tcMar>
              <w:top w:w="80" w:type="dxa"/>
              <w:bottom w:w="80" w:type="dxa"/>
              <w:start w:w="120" w:type="dxa"/>
              <w:end w:w="120" w:type="dxa"/>
            </w:tcMar>
          </w:tcPr>
          <w:p>
            <w:pPr>
              <w:spacing w:before="0" w:after="40" w:line="240" w:lineRule="auto"/>
            </w:pPr>
            <w:r>
              <w:rPr>
                <w:rFonts w:ascii="Calibri" w:hAnsi="Calibri"/>
                <w:b w:val="0"/>
                <w:color w:val="1D2630"/>
                <w:sz w:val="19"/>
              </w:rPr>
              <w:t>Renfort cloud, DevOps, MLOps, IAM et sécurité sur les usages locaux.</w:t>
            </w:r>
          </w:p>
        </w:tc>
      </w:tr>
      <w:tr>
        <w:trPr>
          <w:cantSplit/>
        </w:trPr>
        <w:tc>
          <w:tcPr>
            <w:tcW w:type="dxa" w:w="1944"/>
            <w:vAlign w:val="top"/>
            <w:tcMar>
              <w:top w:w="80" w:type="dxa"/>
              <w:bottom w:w="80" w:type="dxa"/>
              <w:start w:w="120" w:type="dxa"/>
              <w:end w:w="120" w:type="dxa"/>
            </w:tcMar>
          </w:tcPr>
          <w:p>
            <w:pPr>
              <w:spacing w:before="0" w:after="40" w:line="240" w:lineRule="auto"/>
            </w:pPr>
            <w:r>
              <w:rPr>
                <w:rFonts w:ascii="Calibri" w:hAnsi="Calibri"/>
                <w:b/>
                <w:color w:val="1D2630"/>
                <w:sz w:val="19"/>
              </w:rPr>
              <w:t>Capgemini</w:t>
            </w:r>
          </w:p>
        </w:tc>
        <w:tc>
          <w:tcPr>
            <w:tcW w:type="dxa" w:w="3384"/>
            <w:vAlign w:val="top"/>
            <w:tcMar>
              <w:top w:w="80" w:type="dxa"/>
              <w:bottom w:w="80" w:type="dxa"/>
              <w:start w:w="120" w:type="dxa"/>
              <w:end w:w="120" w:type="dxa"/>
            </w:tcMar>
          </w:tcPr>
          <w:p>
            <w:pPr>
              <w:spacing w:before="0" w:after="40" w:line="240" w:lineRule="auto"/>
            </w:pPr>
            <w:r>
              <w:rPr>
                <w:rFonts w:ascii="Calibri" w:hAnsi="Calibri"/>
                <w:b w:val="0"/>
                <w:color w:val="1D2630"/>
                <w:sz w:val="19"/>
              </w:rPr>
              <w:t>Partenariat stratégique supply chain</w:t>
            </w:r>
          </w:p>
        </w:tc>
        <w:tc>
          <w:tcPr>
            <w:tcW w:type="dxa" w:w="4032"/>
            <w:vAlign w:val="top"/>
            <w:tcMar>
              <w:top w:w="80" w:type="dxa"/>
              <w:bottom w:w="80" w:type="dxa"/>
              <w:start w:w="120" w:type="dxa"/>
              <w:end w:w="120" w:type="dxa"/>
            </w:tcMar>
          </w:tcPr>
          <w:p>
            <w:pPr>
              <w:spacing w:before="0" w:after="40" w:line="240" w:lineRule="auto"/>
            </w:pPr>
            <w:r>
              <w:rPr>
                <w:rFonts w:ascii="Calibri" w:hAnsi="Calibri"/>
                <w:b w:val="0"/>
                <w:color w:val="1D2630"/>
                <w:sz w:val="19"/>
              </w:rPr>
              <w:t>Se positionner sur la réactivité, la proximité, les profils ciblés et les besoins non couverts.</w:t>
            </w:r>
          </w:p>
        </w:tc>
      </w:tr>
      <w:tr>
        <w:trPr>
          <w:cantSplit/>
        </w:trPr>
        <w:tc>
          <w:tcPr>
            <w:tcW w:type="dxa" w:w="1944"/>
            <w:vAlign w:val="top"/>
            <w:tcMar>
              <w:top w:w="80" w:type="dxa"/>
              <w:bottom w:w="80" w:type="dxa"/>
              <w:start w:w="120" w:type="dxa"/>
              <w:end w:w="120" w:type="dxa"/>
            </w:tcMar>
          </w:tcPr>
          <w:p>
            <w:pPr>
              <w:spacing w:before="0" w:after="40" w:line="240" w:lineRule="auto"/>
            </w:pPr>
            <w:r>
              <w:rPr>
                <w:rFonts w:ascii="Calibri" w:hAnsi="Calibri"/>
                <w:b/>
                <w:color w:val="1D2630"/>
                <w:sz w:val="19"/>
              </w:rPr>
              <w:t>Équipes internes K+N</w:t>
            </w:r>
          </w:p>
        </w:tc>
        <w:tc>
          <w:tcPr>
            <w:tcW w:type="dxa" w:w="3384"/>
            <w:vAlign w:val="top"/>
            <w:tcMar>
              <w:top w:w="80" w:type="dxa"/>
              <w:bottom w:w="80" w:type="dxa"/>
              <w:start w:w="120" w:type="dxa"/>
              <w:end w:w="120" w:type="dxa"/>
            </w:tcMar>
          </w:tcPr>
          <w:p>
            <w:pPr>
              <w:spacing w:before="0" w:after="40" w:line="240" w:lineRule="auto"/>
            </w:pPr>
            <w:r>
              <w:rPr>
                <w:rFonts w:ascii="Calibri" w:hAnsi="Calibri"/>
                <w:b w:val="0"/>
                <w:color w:val="1D2630"/>
                <w:sz w:val="19"/>
              </w:rPr>
              <w:t>Développement propriétaire et intégration considérés comme compétences clés</w:t>
            </w:r>
          </w:p>
        </w:tc>
        <w:tc>
          <w:tcPr>
            <w:tcW w:type="dxa" w:w="4032"/>
            <w:vAlign w:val="top"/>
            <w:tcMar>
              <w:top w:w="80" w:type="dxa"/>
              <w:bottom w:w="80" w:type="dxa"/>
              <w:start w:w="120" w:type="dxa"/>
              <w:end w:w="120" w:type="dxa"/>
            </w:tcMar>
          </w:tcPr>
          <w:p>
            <w:pPr>
              <w:spacing w:before="0" w:after="40" w:line="240" w:lineRule="auto"/>
            </w:pPr>
            <w:r>
              <w:rPr>
                <w:rFonts w:ascii="Calibri" w:hAnsi="Calibri"/>
                <w:b w:val="0"/>
                <w:color w:val="1D2630"/>
                <w:sz w:val="19"/>
              </w:rPr>
              <w:t>Compléter les équipes sur les pics, les expertises rares et les déploiements multisites.</w:t>
            </w:r>
          </w:p>
        </w:tc>
      </w:tr>
    </w:tbl>
    <w:p>
      <w:pPr>
        <w:spacing w:after="0"/>
      </w:pPr>
    </w:p>
    <w:p>
      <w:pPr>
        <w:pStyle w:val="Heading1"/>
      </w:pPr>
      <w:r>
        <w:t>8. Messages et courriels prêts à l'emploi</w:t>
      </w:r>
    </w:p>
    <w:p>
      <w:pPr>
        <w:pStyle w:val="Heading2"/>
      </w:pPr>
      <w:r>
        <w:t>8.1 Courriel à Bruno Mahier - Direction IT</w:t>
      </w:r>
    </w:p>
    <w:tbl>
      <w:tblPr>
        <w:tblW w:type="dxa" w:w="9360"/>
        <w:jc w:val="left"/>
        <w:tblLayout w:type="fixed"/>
        <w:tblLook w:firstColumn="1" w:firstRow="1" w:lastColumn="0" w:lastRow="0" w:noHBand="0" w:noVBand="1" w:val="04A0"/>
        <w:tblInd w:type="dxa" w:w="180"/>
      </w:tblPr>
      <w:tblGrid>
        <w:gridCol w:w="9360"/>
      </w:tblGrid>
      <w:tr>
        <w:trPr>
          <w:cantSplit/>
        </w:trPr>
        <w:tc>
          <w:tcPr>
            <w:tcW w:type="dxa" w:w="9360"/>
            <w:shd w:fill="F4F6F9"/>
            <w:tcBorders>
              <w:top w:val="nil"/>
              <w:left w:val="single" w:sz="20" w:color="2E74B5"/>
              <w:bottom w:val="nil"/>
              <w:right w:val="nil"/>
            </w:tcBorders>
            <w:tcMar>
              <w:top w:w="120" w:type="dxa"/>
              <w:bottom w:w="120" w:type="dxa"/>
              <w:start w:w="180" w:type="dxa"/>
              <w:end w:w="180" w:type="dxa"/>
            </w:tcMar>
          </w:tcPr>
          <w:p>
            <w:pPr>
              <w:spacing w:before="60" w:after="60"/>
            </w:pPr>
            <w:r>
              <w:rPr>
                <w:rFonts w:ascii="Calibri" w:hAnsi="Calibri"/>
                <w:b/>
                <w:color w:val="2E74B5"/>
              </w:rPr>
              <w:t xml:space="preserve">Courriel prêt à envoyer. </w:t>
            </w:r>
            <w:r>
              <w:rPr>
                <w:rFonts w:ascii="Calibri" w:hAnsi="Calibri"/>
                <w:color w:val="1D2630"/>
              </w:rPr>
              <w:t>Objet : Anticipation des compétences IT nécessaires aux déploiements France 2026-2027</w:t>
              <w:br/>
              <w:br/>
              <w:t>Bonjour Monsieur Mahier,</w:t>
              <w:br/>
              <w:br/>
              <w:t>Tilencia accompagne les directions IT sur leurs besoins de renfort en transformation, WMS, intégration, data, cloud et cybersécurité.</w:t>
              <w:br/>
              <w:br/>
              <w:t>Au regard des déploiements actuellement engagés par Kuehne+Nagel, notamment autour de la modernisation du WMS, j'aimerais échanger avec vous sur les compétences qui devront être mobilisées localement en France en 2026 et 2027.</w:t>
              <w:br/>
              <w:br/>
              <w:t>Notre objectif serait d'anticiper vos besoins en constituant un vivier ciblé de profils qualifiés, proches de vos principaux sites et mobilisables rapidement, plutôt que d'attendre l'ouverture formelle d'une recherche.</w:t>
              <w:br/>
              <w:br/>
              <w:t>Seriez-vous disponible pour un échange de 30 minutes ?</w:t>
              <w:br/>
              <w:br/>
              <w:t>Bien cordialement,</w:t>
              <w:br/>
              <w:t>David Vandenborght</w:t>
              <w:br/>
              <w:t>Tilencia</w:t>
            </w:r>
          </w:p>
        </w:tc>
      </w:tr>
    </w:tbl>
    <w:p>
      <w:pPr>
        <w:spacing w:after="0"/>
      </w:pPr>
    </w:p>
    <w:p>
      <w:pPr>
        <w:pStyle w:val="Heading2"/>
      </w:pPr>
      <w:r>
        <w:t>8.2 Courriel à Anne Courrier - Gouvernance IT</w:t>
      </w:r>
    </w:p>
    <w:tbl>
      <w:tblPr>
        <w:tblW w:type="dxa" w:w="9360"/>
        <w:jc w:val="left"/>
        <w:tblLayout w:type="fixed"/>
        <w:tblLook w:firstColumn="1" w:firstRow="1" w:lastColumn="0" w:lastRow="0" w:noHBand="0" w:noVBand="1" w:val="04A0"/>
        <w:tblInd w:type="dxa" w:w="180"/>
      </w:tblPr>
      <w:tblGrid>
        <w:gridCol w:w="9360"/>
      </w:tblGrid>
      <w:tr>
        <w:trPr>
          <w:cantSplit/>
        </w:trPr>
        <w:tc>
          <w:tcPr>
            <w:tcW w:type="dxa" w:w="9360"/>
            <w:shd w:fill="F4F6F9"/>
            <w:tcBorders>
              <w:top w:val="nil"/>
              <w:left w:val="single" w:sz="20" w:color="2E74B5"/>
              <w:bottom w:val="nil"/>
              <w:right w:val="nil"/>
            </w:tcBorders>
            <w:tcMar>
              <w:top w:w="120" w:type="dxa"/>
              <w:bottom w:w="120" w:type="dxa"/>
              <w:start w:w="180" w:type="dxa"/>
              <w:end w:w="180" w:type="dxa"/>
            </w:tcMar>
          </w:tcPr>
          <w:p>
            <w:pPr>
              <w:spacing w:before="60" w:after="60"/>
            </w:pPr>
            <w:r>
              <w:rPr>
                <w:rFonts w:ascii="Calibri" w:hAnsi="Calibri"/>
                <w:b/>
                <w:color w:val="2E74B5"/>
              </w:rPr>
              <w:t xml:space="preserve">Courriel prêt à envoyer. </w:t>
            </w:r>
            <w:r>
              <w:rPr>
                <w:rFonts w:ascii="Calibri" w:hAnsi="Calibri"/>
                <w:color w:val="1D2630"/>
              </w:rPr>
              <w:t>Objet : Sécurisation des déploiements, qualité et pilotage des prestations IT</w:t>
              <w:br/>
              <w:br/>
              <w:t>Bonjour Madame Courrier,</w:t>
              <w:br/>
              <w:br/>
              <w:t>Tilencia intervient auprès des directions IT sur la sécurisation des déploiements, le PMO, les tests, la qualité de service et le pilotage des prestations.</w:t>
              <w:br/>
              <w:br/>
              <w:t>Dans le contexte des transformations actuellement menées par Kuehne+Nagel, je souhaiterais comprendre vos priorités 2026-2027 et identifier les compétences qu'il serait pertinent d'anticiper, notamment sur les sujets WMS, EDI, data, cutover et performance IT.</w:t>
              <w:br/>
              <w:br/>
              <w:t>Notre approche repose sur une qualification technique exigeante, un vivier préventif et un suivi mesurable des missions.</w:t>
              <w:br/>
              <w:br/>
              <w:t>Auriez-vous 30 minutes à nous accorder pour un premier échange ?</w:t>
              <w:br/>
              <w:br/>
              <w:t>Bien cordialement,</w:t>
              <w:br/>
              <w:t>David Vandenborght</w:t>
              <w:br/>
              <w:t>Tilencia</w:t>
            </w:r>
          </w:p>
        </w:tc>
      </w:tr>
    </w:tbl>
    <w:p>
      <w:pPr>
        <w:spacing w:after="0"/>
      </w:pPr>
    </w:p>
    <w:p>
      <w:pPr>
        <w:pStyle w:val="Heading2"/>
      </w:pPr>
      <w:r>
        <w:t>8.3 Courriel à Frédéric Dauny - Direction Achats</w:t>
      </w:r>
    </w:p>
    <w:tbl>
      <w:tblPr>
        <w:tblW w:type="dxa" w:w="9360"/>
        <w:jc w:val="left"/>
        <w:tblLayout w:type="fixed"/>
        <w:tblLook w:firstColumn="1" w:firstRow="1" w:lastColumn="0" w:lastRow="0" w:noHBand="0" w:noVBand="1" w:val="04A0"/>
        <w:tblInd w:type="dxa" w:w="180"/>
      </w:tblPr>
      <w:tblGrid>
        <w:gridCol w:w="9360"/>
      </w:tblGrid>
      <w:tr>
        <w:trPr>
          <w:cantSplit/>
        </w:trPr>
        <w:tc>
          <w:tcPr>
            <w:tcW w:type="dxa" w:w="9360"/>
            <w:shd w:fill="FFF8E8"/>
            <w:tcBorders>
              <w:top w:val="nil"/>
              <w:left w:val="single" w:sz="20" w:color="9A6A00"/>
              <w:bottom w:val="nil"/>
              <w:right w:val="nil"/>
            </w:tcBorders>
            <w:tcMar>
              <w:top w:w="120" w:type="dxa"/>
              <w:bottom w:w="120" w:type="dxa"/>
              <w:start w:w="180" w:type="dxa"/>
              <w:end w:w="180" w:type="dxa"/>
            </w:tcMar>
          </w:tcPr>
          <w:p>
            <w:pPr>
              <w:spacing w:before="60" w:after="60"/>
            </w:pPr>
            <w:r>
              <w:rPr>
                <w:rFonts w:ascii="Calibri" w:hAnsi="Calibri"/>
                <w:b/>
                <w:color w:val="9A6A00"/>
              </w:rPr>
              <w:t xml:space="preserve">Courriel à utiliser après obtention d'un sponsor IT. </w:t>
            </w:r>
            <w:r>
              <w:rPr>
                <w:rFonts w:ascii="Calibri" w:hAnsi="Calibri"/>
                <w:color w:val="1D2630"/>
              </w:rPr>
              <w:t>Objet : Référencement de Tilencia pour les prestations intellectuelles IT</w:t>
              <w:br/>
              <w:br/>
              <w:t>Bonjour Monsieur Dauny,</w:t>
              <w:br/>
              <w:br/>
              <w:t>Tilencia est une ESN spécialisée dans la qualification et la mobilisation de profils IT ciblés, avec une double lecture technique et achats. Nous intervenons notamment sur les environnements WMS/TMS, data, cloud, cybersécurité, infrastructure et pilotage de projets.</w:t>
              <w:br/>
              <w:br/>
              <w:t>Dans le cadre de nos démarches auprès des équipes IT de Kuehne+Nagel France, nous souhaiterions comprendre votre organisation concernant les prestations intellectuelles IT, les panels fournisseurs et les conditions de référencement d'un nouveau partenaire.</w:t>
              <w:br/>
              <w:br/>
              <w:t>Notre approche associe sélection technique, maîtrise des TJM, vivier préventif et suivi de la performance des consultants.</w:t>
              <w:br/>
              <w:br/>
              <w:t>Seriez-vous disponible pour un échange de 30 minutes ?</w:t>
              <w:br/>
              <w:br/>
              <w:t>Bien cordialement,</w:t>
              <w:br/>
              <w:t>David Vandenborght</w:t>
              <w:br/>
              <w:t>Tilencia</w:t>
            </w:r>
          </w:p>
        </w:tc>
      </w:tr>
    </w:tbl>
    <w:p>
      <w:pPr>
        <w:spacing w:after="0"/>
      </w:pPr>
    </w:p>
    <w:p>
      <w:pPr>
        <w:pStyle w:val="Heading2"/>
      </w:pPr>
      <w:r>
        <w:t>8.4 Courriel au CFO France/Maghreb</w:t>
      </w:r>
    </w:p>
    <w:tbl>
      <w:tblPr>
        <w:tblW w:type="dxa" w:w="9360"/>
        <w:jc w:val="left"/>
        <w:tblLayout w:type="fixed"/>
        <w:tblLook w:firstColumn="1" w:firstRow="1" w:lastColumn="0" w:lastRow="0" w:noHBand="0" w:noVBand="1" w:val="04A0"/>
        <w:tblInd w:type="dxa" w:w="180"/>
      </w:tblPr>
      <w:tblGrid>
        <w:gridCol w:w="9360"/>
      </w:tblGrid>
      <w:tr>
        <w:trPr>
          <w:cantSplit/>
        </w:trPr>
        <w:tc>
          <w:tcPr>
            <w:tcW w:type="dxa" w:w="9360"/>
            <w:shd w:fill="F4F6F9"/>
            <w:tcBorders>
              <w:top w:val="nil"/>
              <w:left w:val="single" w:sz="20" w:color="2E74B5"/>
              <w:bottom w:val="nil"/>
              <w:right w:val="nil"/>
            </w:tcBorders>
            <w:tcMar>
              <w:top w:w="120" w:type="dxa"/>
              <w:bottom w:w="120" w:type="dxa"/>
              <w:start w:w="180" w:type="dxa"/>
              <w:end w:w="180" w:type="dxa"/>
            </w:tcMar>
          </w:tcPr>
          <w:p>
            <w:pPr>
              <w:spacing w:before="60" w:after="60"/>
            </w:pPr>
            <w:r>
              <w:rPr>
                <w:rFonts w:ascii="Calibri" w:hAnsi="Calibri"/>
                <w:b/>
                <w:color w:val="2E74B5"/>
              </w:rPr>
              <w:t xml:space="preserve">Courriel sponsor finance. </w:t>
            </w:r>
            <w:r>
              <w:rPr>
                <w:rFonts w:ascii="Calibri" w:hAnsi="Calibri"/>
                <w:color w:val="1D2630"/>
              </w:rPr>
              <w:t>Objet : Renforts IT ciblés et maîtrise du coût des transformations</w:t>
              <w:br/>
              <w:br/>
              <w:t>Bonjour Monsieur Derkach,</w:t>
              <w:br/>
              <w:br/>
              <w:t>Tilencia accompagne les entreprises dans la sécurisation de leurs transformations IT en combinant expertise technique, sourcing qualitatif et maîtrise des coûts.</w:t>
              <w:br/>
              <w:br/>
              <w:t>Notre approche vise à réduire les délais de mobilisation, sécuriser les déploiements critiques et positionner les ressources au juste niveau d'expertise et de TJM, avec un suivi précis des résultats et du consommé.</w:t>
              <w:br/>
              <w:br/>
              <w:t>Je souhaiterais échanger avec vous sur les priorités de transformation et de performance de Kuehne+Nagel France, afin d'identifier les domaines sur lesquels un partenaire agile pourrait compléter efficacement les dispositifs existants.</w:t>
              <w:br/>
              <w:br/>
              <w:t>Bien cordialement,</w:t>
              <w:br/>
              <w:t>David Vandenborght</w:t>
              <w:br/>
              <w:t>Tilencia</w:t>
            </w:r>
          </w:p>
        </w:tc>
      </w:tr>
    </w:tbl>
    <w:p>
      <w:pPr>
        <w:spacing w:after="0"/>
      </w:pPr>
    </w:p>
    <w:p>
      <w:pPr>
        <w:pStyle w:val="Heading2"/>
      </w:pPr>
      <w:r>
        <w:t>8.5 Messages LinkedIn courts</w:t>
      </w:r>
    </w:p>
    <w:tbl>
      <w:tblPr>
        <w:tblStyle w:val="TableGrid"/>
        <w:tblW w:type="dxa" w:w="9360"/>
        <w:jc w:val="left"/>
        <w:tblLayout w:type="fixed"/>
        <w:tblLook w:firstColumn="1" w:firstRow="1" w:lastColumn="0" w:lastRow="0" w:noHBand="0" w:noVBand="1" w:val="04A0"/>
        <w:tblInd w:type="dxa" w:w="120"/>
      </w:tblPr>
      <w:tblGrid>
        <w:gridCol w:w="1584"/>
        <w:gridCol w:w="7776"/>
      </w:tblGrid>
      <w:tr>
        <w:trPr>
          <w:tblHeader w:val="true"/>
          <w:cantSplit/>
        </w:trPr>
        <w:tc>
          <w:tcPr>
            <w:tcW w:type="dxa" w:w="1584"/>
            <w:shd w:fill="F2F4F7"/>
            <w:vAlign w:val="center"/>
            <w:tcMar>
              <w:top w:w="80" w:type="dxa"/>
              <w:bottom w:w="80" w:type="dxa"/>
              <w:start w:w="120" w:type="dxa"/>
              <w:end w:w="120" w:type="dxa"/>
            </w:tcMar>
          </w:tcPr>
          <w:p>
            <w:pPr>
              <w:spacing w:before="20" w:after="20"/>
            </w:pPr>
            <w:r>
              <w:rPr>
                <w:rFonts w:ascii="Calibri" w:hAnsi="Calibri"/>
                <w:b/>
                <w:color w:val="0B2545"/>
                <w:sz w:val="18"/>
              </w:rPr>
              <w:t>Cible</w:t>
            </w:r>
          </w:p>
        </w:tc>
        <w:tc>
          <w:tcPr>
            <w:tcW w:type="dxa" w:w="7776"/>
            <w:shd w:fill="F2F4F7"/>
            <w:vAlign w:val="center"/>
            <w:tcMar>
              <w:top w:w="80" w:type="dxa"/>
              <w:bottom w:w="80" w:type="dxa"/>
              <w:start w:w="120" w:type="dxa"/>
              <w:end w:w="120" w:type="dxa"/>
            </w:tcMar>
          </w:tcPr>
          <w:p>
            <w:pPr>
              <w:spacing w:before="20" w:after="20"/>
            </w:pPr>
            <w:r>
              <w:rPr>
                <w:rFonts w:ascii="Calibri" w:hAnsi="Calibri"/>
                <w:b/>
                <w:color w:val="0B2545"/>
                <w:sz w:val="18"/>
              </w:rPr>
              <w:t>Message</w:t>
            </w:r>
          </w:p>
        </w:tc>
      </w:tr>
      <w:tr>
        <w:trPr>
          <w:cantSplit/>
        </w:trPr>
        <w:tc>
          <w:tcPr>
            <w:tcW w:type="dxa" w:w="1584"/>
            <w:vAlign w:val="top"/>
            <w:tcMar>
              <w:top w:w="80" w:type="dxa"/>
              <w:bottom w:w="80" w:type="dxa"/>
              <w:start w:w="120" w:type="dxa"/>
              <w:end w:w="120" w:type="dxa"/>
            </w:tcMar>
          </w:tcPr>
          <w:p>
            <w:pPr>
              <w:spacing w:before="0" w:after="40" w:line="240" w:lineRule="auto"/>
            </w:pPr>
            <w:r>
              <w:rPr>
                <w:rFonts w:ascii="Calibri" w:hAnsi="Calibri"/>
                <w:b/>
                <w:color w:val="1D2630"/>
                <w:sz w:val="18"/>
              </w:rPr>
              <w:t>IT</w:t>
            </w:r>
          </w:p>
        </w:tc>
        <w:tc>
          <w:tcPr>
            <w:tcW w:type="dxa" w:w="7776"/>
            <w:vAlign w:val="top"/>
            <w:tcMar>
              <w:top w:w="80" w:type="dxa"/>
              <w:bottom w:w="80" w:type="dxa"/>
              <w:start w:w="120" w:type="dxa"/>
              <w:end w:w="120" w:type="dxa"/>
            </w:tcMar>
          </w:tcPr>
          <w:p>
            <w:pPr>
              <w:spacing w:before="0" w:after="40" w:line="240" w:lineRule="auto"/>
            </w:pPr>
            <w:r>
              <w:rPr>
                <w:rFonts w:ascii="Calibri" w:hAnsi="Calibri"/>
                <w:b w:val="0"/>
                <w:color w:val="1D2630"/>
                <w:sz w:val="18"/>
              </w:rPr>
              <w:t>Bonjour Monsieur Mahier, Tilencia accompagne les directions IT sur les renforts WMS, EDI, data, cloud et cyber. J'aimerais échanger sur les compétences à anticiper pour vos transformations France 2026-2027 et la constitution d'un vivier préventif. Seriez-vous disponible 30 minutes ?</w:t>
            </w:r>
          </w:p>
        </w:tc>
      </w:tr>
      <w:tr>
        <w:trPr>
          <w:cantSplit/>
        </w:trPr>
        <w:tc>
          <w:tcPr>
            <w:tcW w:type="dxa" w:w="1584"/>
            <w:vAlign w:val="top"/>
            <w:tcMar>
              <w:top w:w="80" w:type="dxa"/>
              <w:bottom w:w="80" w:type="dxa"/>
              <w:start w:w="120" w:type="dxa"/>
              <w:end w:w="120" w:type="dxa"/>
            </w:tcMar>
          </w:tcPr>
          <w:p>
            <w:pPr>
              <w:spacing w:before="0" w:after="40" w:line="240" w:lineRule="auto"/>
            </w:pPr>
            <w:r>
              <w:rPr>
                <w:rFonts w:ascii="Calibri" w:hAnsi="Calibri"/>
                <w:b/>
                <w:color w:val="1D2630"/>
                <w:sz w:val="18"/>
              </w:rPr>
              <w:t>Gouvernance</w:t>
            </w:r>
          </w:p>
        </w:tc>
        <w:tc>
          <w:tcPr>
            <w:tcW w:type="dxa" w:w="7776"/>
            <w:vAlign w:val="top"/>
            <w:tcMar>
              <w:top w:w="80" w:type="dxa"/>
              <w:bottom w:w="80" w:type="dxa"/>
              <w:start w:w="120" w:type="dxa"/>
              <w:end w:w="120" w:type="dxa"/>
            </w:tcMar>
          </w:tcPr>
          <w:p>
            <w:pPr>
              <w:spacing w:before="0" w:after="40" w:line="240" w:lineRule="auto"/>
            </w:pPr>
            <w:r>
              <w:rPr>
                <w:rFonts w:ascii="Calibri" w:hAnsi="Calibri"/>
                <w:b w:val="0"/>
                <w:color w:val="1D2630"/>
                <w:sz w:val="18"/>
              </w:rPr>
              <w:t>Bonjour Madame Courrier, nous intervenons sur le PMO, les tests, le cutover et la performance IT. Je souhaiterais comprendre vos priorités 2026-2027 afin d'anticiper les profils nécessaires aux déploiements français de Kuehne+Nagel.</w:t>
            </w:r>
          </w:p>
        </w:tc>
      </w:tr>
      <w:tr>
        <w:trPr>
          <w:cantSplit/>
        </w:trPr>
        <w:tc>
          <w:tcPr>
            <w:tcW w:type="dxa" w:w="1584"/>
            <w:vAlign w:val="top"/>
            <w:tcMar>
              <w:top w:w="80" w:type="dxa"/>
              <w:bottom w:w="80" w:type="dxa"/>
              <w:start w:w="120" w:type="dxa"/>
              <w:end w:w="120" w:type="dxa"/>
            </w:tcMar>
          </w:tcPr>
          <w:p>
            <w:pPr>
              <w:spacing w:before="0" w:after="40" w:line="240" w:lineRule="auto"/>
            </w:pPr>
            <w:r>
              <w:rPr>
                <w:rFonts w:ascii="Calibri" w:hAnsi="Calibri"/>
                <w:b/>
                <w:color w:val="1D2630"/>
                <w:sz w:val="18"/>
              </w:rPr>
              <w:t>Achats</w:t>
            </w:r>
          </w:p>
        </w:tc>
        <w:tc>
          <w:tcPr>
            <w:tcW w:type="dxa" w:w="7776"/>
            <w:vAlign w:val="top"/>
            <w:tcMar>
              <w:top w:w="80" w:type="dxa"/>
              <w:bottom w:w="80" w:type="dxa"/>
              <w:start w:w="120" w:type="dxa"/>
              <w:end w:w="120" w:type="dxa"/>
            </w:tcMar>
          </w:tcPr>
          <w:p>
            <w:pPr>
              <w:spacing w:before="0" w:after="40" w:line="240" w:lineRule="auto"/>
            </w:pPr>
            <w:r>
              <w:rPr>
                <w:rFonts w:ascii="Calibri" w:hAnsi="Calibri"/>
                <w:b w:val="0"/>
                <w:color w:val="1D2630"/>
                <w:sz w:val="18"/>
              </w:rPr>
              <w:t>Bonjour Monsieur Dauny, Tilencia combine qualification technique, maîtrise des TJM et suivi des prestations. Après échange avec vos équipes IT, j'aimerais comprendre le fonctionnement de votre panel de prestations intellectuelles et vos conditions de référencement.</w:t>
            </w:r>
          </w:p>
        </w:tc>
      </w:tr>
    </w:tbl>
    <w:p>
      <w:pPr>
        <w:spacing w:after="0"/>
      </w:pPr>
    </w:p>
    <w:p>
      <w:pPr>
        <w:pStyle w:val="Heading2"/>
      </w:pPr>
      <w:r>
        <w:t>8.6 Règles d'utilisation des coordonnées</w:t>
      </w:r>
    </w:p>
    <w:p>
      <w:pPr>
        <w:pStyle w:val="ListBullet"/>
      </w:pPr>
      <w:r>
        <w:rPr>
          <w:rFonts w:ascii="Calibri" w:hAnsi="Calibri"/>
          <w:color w:val="1D2630"/>
        </w:rPr>
        <w:t>Aucune adresse email nominative n'a été publiquement vérifiée dans les sources consultées.</w:t>
      </w:r>
    </w:p>
    <w:p>
      <w:pPr>
        <w:pStyle w:val="ListBullet"/>
      </w:pPr>
      <w:r>
        <w:rPr>
          <w:rFonts w:ascii="Calibri" w:hAnsi="Calibri"/>
          <w:color w:val="1D2630"/>
        </w:rPr>
        <w:t>Ne pas inventer ni envoyer vers une adresse déduite sans vérification préalable.</w:t>
      </w:r>
    </w:p>
    <w:p>
      <w:pPr>
        <w:pStyle w:val="ListBullet"/>
      </w:pPr>
      <w:r>
        <w:rPr>
          <w:rFonts w:ascii="Calibri" w:hAnsi="Calibri"/>
          <w:color w:val="1D2630"/>
        </w:rPr>
        <w:t>Privilégier LinkedIn, le standard du siège, une introduction réseau ou un outil professionnel de vérification.</w:t>
      </w:r>
    </w:p>
    <w:p>
      <w:pPr>
        <w:pStyle w:val="ListBullet"/>
      </w:pPr>
      <w:r>
        <w:rPr>
          <w:rFonts w:ascii="Calibri" w:hAnsi="Calibri"/>
          <w:color w:val="1D2630"/>
        </w:rPr>
        <w:t>Le format prénom.nom@kuehne-nagel.com peut être testé comme hypothèse technique, mais ne doit pas être considéré comme confirmé.</w:t>
      </w:r>
    </w:p>
    <w:p>
      <w:pPr>
        <w:pStyle w:val="Heading1"/>
      </w:pPr>
      <w:r>
        <w:t>9. Plan d'action détaillé 30/60/90 jours</w:t>
      </w:r>
    </w:p>
    <w:p>
      <w:pPr>
        <w:pStyle w:val="Heading2"/>
      </w:pPr>
      <w:r>
        <w:t>9.1 Répartition proposée des responsabilités</w:t>
      </w:r>
    </w:p>
    <w:tbl>
      <w:tblPr>
        <w:tblStyle w:val="TableGrid"/>
        <w:tblW w:type="dxa" w:w="9360"/>
        <w:jc w:val="left"/>
        <w:tblLayout w:type="fixed"/>
        <w:tblLook w:firstColumn="1" w:firstRow="1" w:lastColumn="0" w:lastRow="0" w:noHBand="0" w:noVBand="1" w:val="04A0"/>
        <w:tblInd w:type="dxa" w:w="120"/>
      </w:tblPr>
      <w:tblGrid>
        <w:gridCol w:w="1800"/>
        <w:gridCol w:w="1944"/>
        <w:gridCol w:w="5616"/>
      </w:tblGrid>
      <w:tr>
        <w:trPr>
          <w:tblHeader w:val="true"/>
          <w:cantSplit/>
        </w:trPr>
        <w:tc>
          <w:tcPr>
            <w:tcW w:type="dxa" w:w="1800"/>
            <w:shd w:fill="F2F4F7"/>
            <w:vAlign w:val="center"/>
            <w:tcMar>
              <w:top w:w="80" w:type="dxa"/>
              <w:bottom w:w="80" w:type="dxa"/>
              <w:start w:w="120" w:type="dxa"/>
              <w:end w:w="120" w:type="dxa"/>
            </w:tcMar>
          </w:tcPr>
          <w:p>
            <w:pPr>
              <w:spacing w:before="20" w:after="20"/>
            </w:pPr>
            <w:r>
              <w:rPr>
                <w:rFonts w:ascii="Calibri" w:hAnsi="Calibri"/>
                <w:b/>
                <w:color w:val="0B2545"/>
                <w:sz w:val="19"/>
              </w:rPr>
              <w:t>Rôle</w:t>
            </w:r>
          </w:p>
        </w:tc>
        <w:tc>
          <w:tcPr>
            <w:tcW w:type="dxa" w:w="1944"/>
            <w:shd w:fill="F2F4F7"/>
            <w:vAlign w:val="center"/>
            <w:tcMar>
              <w:top w:w="80" w:type="dxa"/>
              <w:bottom w:w="80" w:type="dxa"/>
              <w:start w:w="120" w:type="dxa"/>
              <w:end w:w="120" w:type="dxa"/>
            </w:tcMar>
          </w:tcPr>
          <w:p>
            <w:pPr>
              <w:spacing w:before="20" w:after="20"/>
            </w:pPr>
            <w:r>
              <w:rPr>
                <w:rFonts w:ascii="Calibri" w:hAnsi="Calibri"/>
                <w:b/>
                <w:color w:val="0B2545"/>
                <w:sz w:val="19"/>
              </w:rPr>
              <w:t>Responsable proposé</w:t>
            </w:r>
          </w:p>
        </w:tc>
        <w:tc>
          <w:tcPr>
            <w:tcW w:type="dxa" w:w="5616"/>
            <w:shd w:fill="F2F4F7"/>
            <w:vAlign w:val="center"/>
            <w:tcMar>
              <w:top w:w="80" w:type="dxa"/>
              <w:bottom w:w="80" w:type="dxa"/>
              <w:start w:w="120" w:type="dxa"/>
              <w:end w:w="120" w:type="dxa"/>
            </w:tcMar>
          </w:tcPr>
          <w:p>
            <w:pPr>
              <w:spacing w:before="20" w:after="20"/>
            </w:pPr>
            <w:r>
              <w:rPr>
                <w:rFonts w:ascii="Calibri" w:hAnsi="Calibri"/>
                <w:b/>
                <w:color w:val="0B2545"/>
                <w:sz w:val="19"/>
              </w:rPr>
              <w:t>Responsabilités</w:t>
            </w:r>
          </w:p>
        </w:tc>
      </w:tr>
      <w:tr>
        <w:trPr>
          <w:cantSplit/>
        </w:trPr>
        <w:tc>
          <w:tcPr>
            <w:tcW w:type="dxa" w:w="1800"/>
            <w:vAlign w:val="top"/>
            <w:tcMar>
              <w:top w:w="80" w:type="dxa"/>
              <w:bottom w:w="80" w:type="dxa"/>
              <w:start w:w="120" w:type="dxa"/>
              <w:end w:w="120" w:type="dxa"/>
            </w:tcMar>
          </w:tcPr>
          <w:p>
            <w:pPr>
              <w:spacing w:before="0" w:after="40" w:line="240" w:lineRule="auto"/>
            </w:pPr>
            <w:r>
              <w:rPr>
                <w:rFonts w:ascii="Calibri" w:hAnsi="Calibri"/>
                <w:b/>
                <w:color w:val="1D2630"/>
                <w:sz w:val="19"/>
              </w:rPr>
              <w:t>Account owner</w:t>
            </w:r>
          </w:p>
        </w:tc>
        <w:tc>
          <w:tcPr>
            <w:tcW w:type="dxa" w:w="1944"/>
            <w:vAlign w:val="top"/>
            <w:tcMar>
              <w:top w:w="80" w:type="dxa"/>
              <w:bottom w:w="80" w:type="dxa"/>
              <w:start w:w="120" w:type="dxa"/>
              <w:end w:w="120" w:type="dxa"/>
            </w:tcMar>
          </w:tcPr>
          <w:p>
            <w:pPr>
              <w:spacing w:before="0" w:after="40" w:line="240" w:lineRule="auto"/>
            </w:pPr>
            <w:r>
              <w:rPr>
                <w:rFonts w:ascii="Calibri" w:hAnsi="Calibri"/>
                <w:b w:val="0"/>
                <w:color w:val="1D2630"/>
                <w:sz w:val="19"/>
              </w:rPr>
              <w:t>David</w:t>
            </w:r>
          </w:p>
        </w:tc>
        <w:tc>
          <w:tcPr>
            <w:tcW w:type="dxa" w:w="5616"/>
            <w:vAlign w:val="top"/>
            <w:tcMar>
              <w:top w:w="80" w:type="dxa"/>
              <w:bottom w:w="80" w:type="dxa"/>
              <w:start w:w="120" w:type="dxa"/>
              <w:end w:w="120" w:type="dxa"/>
            </w:tcMar>
          </w:tcPr>
          <w:p>
            <w:pPr>
              <w:spacing w:before="0" w:after="40" w:line="240" w:lineRule="auto"/>
            </w:pPr>
            <w:r>
              <w:rPr>
                <w:rFonts w:ascii="Calibri" w:hAnsi="Calibri"/>
                <w:b w:val="0"/>
                <w:color w:val="1D2630"/>
                <w:sz w:val="19"/>
              </w:rPr>
              <w:t>Pilotage du compte, rendez-vous, qualification, proposition de valeur et relances.</w:t>
            </w:r>
          </w:p>
        </w:tc>
      </w:tr>
      <w:tr>
        <w:trPr>
          <w:cantSplit/>
        </w:trPr>
        <w:tc>
          <w:tcPr>
            <w:tcW w:type="dxa" w:w="1800"/>
            <w:vAlign w:val="top"/>
            <w:tcMar>
              <w:top w:w="80" w:type="dxa"/>
              <w:bottom w:w="80" w:type="dxa"/>
              <w:start w:w="120" w:type="dxa"/>
              <w:end w:w="120" w:type="dxa"/>
            </w:tcMar>
          </w:tcPr>
          <w:p>
            <w:pPr>
              <w:spacing w:before="0" w:after="40" w:line="240" w:lineRule="auto"/>
            </w:pPr>
            <w:r>
              <w:rPr>
                <w:rFonts w:ascii="Calibri" w:hAnsi="Calibri"/>
                <w:b/>
                <w:color w:val="1D2630"/>
                <w:sz w:val="19"/>
              </w:rPr>
              <w:t>Sponsor commercial</w:t>
            </w:r>
          </w:p>
        </w:tc>
        <w:tc>
          <w:tcPr>
            <w:tcW w:type="dxa" w:w="1944"/>
            <w:vAlign w:val="top"/>
            <w:tcMar>
              <w:top w:w="80" w:type="dxa"/>
              <w:bottom w:w="80" w:type="dxa"/>
              <w:start w:w="120" w:type="dxa"/>
              <w:end w:w="120" w:type="dxa"/>
            </w:tcMar>
          </w:tcPr>
          <w:p>
            <w:pPr>
              <w:spacing w:before="0" w:after="40" w:line="240" w:lineRule="auto"/>
            </w:pPr>
            <w:r>
              <w:rPr>
                <w:rFonts w:ascii="Calibri" w:hAnsi="Calibri"/>
                <w:b w:val="0"/>
                <w:color w:val="1D2630"/>
                <w:sz w:val="19"/>
              </w:rPr>
              <w:t>Pierre</w:t>
            </w:r>
          </w:p>
        </w:tc>
        <w:tc>
          <w:tcPr>
            <w:tcW w:type="dxa" w:w="5616"/>
            <w:vAlign w:val="top"/>
            <w:tcMar>
              <w:top w:w="80" w:type="dxa"/>
              <w:bottom w:w="80" w:type="dxa"/>
              <w:start w:w="120" w:type="dxa"/>
              <w:end w:w="120" w:type="dxa"/>
            </w:tcMar>
          </w:tcPr>
          <w:p>
            <w:pPr>
              <w:spacing w:before="0" w:after="40" w:line="240" w:lineRule="auto"/>
            </w:pPr>
            <w:r>
              <w:rPr>
                <w:rFonts w:ascii="Calibri" w:hAnsi="Calibri"/>
                <w:b w:val="0"/>
                <w:color w:val="1D2630"/>
                <w:sz w:val="19"/>
              </w:rPr>
              <w:t>Ouverture réseau, appui direction et arbitrage GO/NO GO.</w:t>
            </w:r>
          </w:p>
        </w:tc>
      </w:tr>
      <w:tr>
        <w:trPr>
          <w:cantSplit/>
        </w:trPr>
        <w:tc>
          <w:tcPr>
            <w:tcW w:type="dxa" w:w="1800"/>
            <w:vAlign w:val="top"/>
            <w:tcMar>
              <w:top w:w="80" w:type="dxa"/>
              <w:bottom w:w="80" w:type="dxa"/>
              <w:start w:w="120" w:type="dxa"/>
              <w:end w:w="120" w:type="dxa"/>
            </w:tcMar>
          </w:tcPr>
          <w:p>
            <w:pPr>
              <w:spacing w:before="0" w:after="40" w:line="240" w:lineRule="auto"/>
            </w:pPr>
            <w:r>
              <w:rPr>
                <w:rFonts w:ascii="Calibri" w:hAnsi="Calibri"/>
                <w:b/>
                <w:color w:val="1D2630"/>
                <w:sz w:val="19"/>
              </w:rPr>
              <w:t>Chasse contacts</w:t>
            </w:r>
          </w:p>
        </w:tc>
        <w:tc>
          <w:tcPr>
            <w:tcW w:type="dxa" w:w="1944"/>
            <w:vAlign w:val="top"/>
            <w:tcMar>
              <w:top w:w="80" w:type="dxa"/>
              <w:bottom w:w="80" w:type="dxa"/>
              <w:start w:w="120" w:type="dxa"/>
              <w:end w:w="120" w:type="dxa"/>
            </w:tcMar>
          </w:tcPr>
          <w:p>
            <w:pPr>
              <w:spacing w:before="0" w:after="40" w:line="240" w:lineRule="auto"/>
            </w:pPr>
            <w:r>
              <w:rPr>
                <w:rFonts w:ascii="Calibri" w:hAnsi="Calibri"/>
                <w:b w:val="0"/>
                <w:color w:val="1D2630"/>
                <w:sz w:val="19"/>
              </w:rPr>
              <w:t>Jovan</w:t>
            </w:r>
          </w:p>
        </w:tc>
        <w:tc>
          <w:tcPr>
            <w:tcW w:type="dxa" w:w="5616"/>
            <w:vAlign w:val="top"/>
            <w:tcMar>
              <w:top w:w="80" w:type="dxa"/>
              <w:bottom w:w="80" w:type="dxa"/>
              <w:start w:w="120" w:type="dxa"/>
              <w:end w:w="120" w:type="dxa"/>
            </w:tcMar>
          </w:tcPr>
          <w:p>
            <w:pPr>
              <w:spacing w:before="0" w:after="40" w:line="240" w:lineRule="auto"/>
            </w:pPr>
            <w:r>
              <w:rPr>
                <w:rFonts w:ascii="Calibri" w:hAnsi="Calibri"/>
                <w:b w:val="0"/>
                <w:color w:val="1D2630"/>
                <w:sz w:val="19"/>
              </w:rPr>
              <w:t>Cartographie LinkedIn, connexions, enrichissement des décideurs et signaux.</w:t>
            </w:r>
          </w:p>
        </w:tc>
      </w:tr>
      <w:tr>
        <w:trPr>
          <w:cantSplit/>
        </w:trPr>
        <w:tc>
          <w:tcPr>
            <w:tcW w:type="dxa" w:w="1800"/>
            <w:vAlign w:val="top"/>
            <w:tcMar>
              <w:top w:w="80" w:type="dxa"/>
              <w:bottom w:w="80" w:type="dxa"/>
              <w:start w:w="120" w:type="dxa"/>
              <w:end w:w="120" w:type="dxa"/>
            </w:tcMar>
          </w:tcPr>
          <w:p>
            <w:pPr>
              <w:spacing w:before="0" w:after="40" w:line="240" w:lineRule="auto"/>
            </w:pPr>
            <w:r>
              <w:rPr>
                <w:rFonts w:ascii="Calibri" w:hAnsi="Calibri"/>
                <w:b/>
                <w:color w:val="1D2630"/>
                <w:sz w:val="19"/>
              </w:rPr>
              <w:t>Sourcing / vivier</w:t>
            </w:r>
          </w:p>
        </w:tc>
        <w:tc>
          <w:tcPr>
            <w:tcW w:type="dxa" w:w="1944"/>
            <w:vAlign w:val="top"/>
            <w:tcMar>
              <w:top w:w="80" w:type="dxa"/>
              <w:bottom w:w="80" w:type="dxa"/>
              <w:start w:w="120" w:type="dxa"/>
              <w:end w:w="120" w:type="dxa"/>
            </w:tcMar>
          </w:tcPr>
          <w:p>
            <w:pPr>
              <w:spacing w:before="0" w:after="40" w:line="240" w:lineRule="auto"/>
            </w:pPr>
            <w:r>
              <w:rPr>
                <w:rFonts w:ascii="Calibri" w:hAnsi="Calibri"/>
                <w:b w:val="0"/>
                <w:color w:val="1D2630"/>
                <w:sz w:val="19"/>
              </w:rPr>
              <w:t>Marie + sourcing externe</w:t>
            </w:r>
          </w:p>
        </w:tc>
        <w:tc>
          <w:tcPr>
            <w:tcW w:type="dxa" w:w="5616"/>
            <w:vAlign w:val="top"/>
            <w:tcMar>
              <w:top w:w="80" w:type="dxa"/>
              <w:bottom w:w="80" w:type="dxa"/>
              <w:start w:w="120" w:type="dxa"/>
              <w:end w:w="120" w:type="dxa"/>
            </w:tcMar>
          </w:tcPr>
          <w:p>
            <w:pPr>
              <w:spacing w:before="0" w:after="40" w:line="240" w:lineRule="auto"/>
            </w:pPr>
            <w:r>
              <w:rPr>
                <w:rFonts w:ascii="Calibri" w:hAnsi="Calibri"/>
                <w:b w:val="0"/>
                <w:color w:val="1D2630"/>
                <w:sz w:val="19"/>
              </w:rPr>
              <w:t>Constitution du vivier, qualification, disponibilité, mobilité et TJM.</w:t>
            </w:r>
          </w:p>
        </w:tc>
      </w:tr>
      <w:tr>
        <w:trPr>
          <w:cantSplit/>
        </w:trPr>
        <w:tc>
          <w:tcPr>
            <w:tcW w:type="dxa" w:w="1800"/>
            <w:vAlign w:val="top"/>
            <w:tcMar>
              <w:top w:w="80" w:type="dxa"/>
              <w:bottom w:w="80" w:type="dxa"/>
              <w:start w:w="120" w:type="dxa"/>
              <w:end w:w="120" w:type="dxa"/>
            </w:tcMar>
          </w:tcPr>
          <w:p>
            <w:pPr>
              <w:spacing w:before="0" w:after="40" w:line="240" w:lineRule="auto"/>
            </w:pPr>
            <w:r>
              <w:rPr>
                <w:rFonts w:ascii="Calibri" w:hAnsi="Calibri"/>
                <w:b/>
                <w:color w:val="1D2630"/>
                <w:sz w:val="19"/>
              </w:rPr>
              <w:t>Direction</w:t>
            </w:r>
          </w:p>
        </w:tc>
        <w:tc>
          <w:tcPr>
            <w:tcW w:type="dxa" w:w="1944"/>
            <w:vAlign w:val="top"/>
            <w:tcMar>
              <w:top w:w="80" w:type="dxa"/>
              <w:bottom w:w="80" w:type="dxa"/>
              <w:start w:w="120" w:type="dxa"/>
              <w:end w:w="120" w:type="dxa"/>
            </w:tcMar>
          </w:tcPr>
          <w:p>
            <w:pPr>
              <w:spacing w:before="0" w:after="40" w:line="240" w:lineRule="auto"/>
            </w:pPr>
            <w:r>
              <w:rPr>
                <w:rFonts w:ascii="Calibri" w:hAnsi="Calibri"/>
                <w:b w:val="0"/>
                <w:color w:val="1D2630"/>
                <w:sz w:val="19"/>
              </w:rPr>
              <w:t>À confirmer</w:t>
            </w:r>
          </w:p>
        </w:tc>
        <w:tc>
          <w:tcPr>
            <w:tcW w:type="dxa" w:w="5616"/>
            <w:vAlign w:val="top"/>
            <w:tcMar>
              <w:top w:w="80" w:type="dxa"/>
              <w:bottom w:w="80" w:type="dxa"/>
              <w:start w:w="120" w:type="dxa"/>
              <w:end w:w="120" w:type="dxa"/>
            </w:tcMar>
          </w:tcPr>
          <w:p>
            <w:pPr>
              <w:spacing w:before="0" w:after="40" w:line="240" w:lineRule="auto"/>
            </w:pPr>
            <w:r>
              <w:rPr>
                <w:rFonts w:ascii="Calibri" w:hAnsi="Calibri"/>
                <w:b w:val="0"/>
                <w:color w:val="1D2630"/>
                <w:sz w:val="19"/>
              </w:rPr>
              <w:t>Validation des conditions commerciales et du niveau d'investissement compte.</w:t>
            </w:r>
          </w:p>
        </w:tc>
      </w:tr>
    </w:tbl>
    <w:p>
      <w:pPr>
        <w:spacing w:after="0"/>
      </w:pPr>
    </w:p>
    <w:p>
      <w:pPr>
        <w:pStyle w:val="SmallNote"/>
      </w:pPr>
      <w:r>
        <w:t>Répartition proposée à valider en réunion commerciale Tilencia.</w:t>
      </w:r>
    </w:p>
    <w:p>
      <w:pPr>
        <w:pStyle w:val="Heading2"/>
      </w:pPr>
      <w:r>
        <w:t>9.2 Jours 1 à 30 - Préparer et ouvrir le compte</w:t>
      </w:r>
    </w:p>
    <w:tbl>
      <w:tblPr>
        <w:tblStyle w:val="TableGrid"/>
        <w:tblW w:type="dxa" w:w="9360"/>
        <w:jc w:val="left"/>
        <w:tblLayout w:type="fixed"/>
        <w:tblLook w:firstColumn="1" w:firstRow="1" w:lastColumn="0" w:lastRow="0" w:noHBand="0" w:noVBand="1" w:val="04A0"/>
        <w:tblInd w:type="dxa" w:w="120"/>
      </w:tblPr>
      <w:tblGrid>
        <w:gridCol w:w="792"/>
        <w:gridCol w:w="3096"/>
        <w:gridCol w:w="1152"/>
        <w:gridCol w:w="2520"/>
        <w:gridCol w:w="1800"/>
      </w:tblGrid>
      <w:tr>
        <w:trPr>
          <w:tblHeader w:val="true"/>
          <w:cantSplit/>
        </w:trPr>
        <w:tc>
          <w:tcPr>
            <w:tcW w:type="dxa" w:w="792"/>
            <w:shd w:fill="F2F4F7"/>
            <w:vAlign w:val="center"/>
            <w:tcMar>
              <w:top w:w="80" w:type="dxa"/>
              <w:bottom w:w="80" w:type="dxa"/>
              <w:start w:w="120" w:type="dxa"/>
              <w:end w:w="120" w:type="dxa"/>
            </w:tcMar>
          </w:tcPr>
          <w:p>
            <w:pPr>
              <w:spacing w:before="20" w:after="20"/>
            </w:pPr>
            <w:r>
              <w:rPr>
                <w:rFonts w:ascii="Calibri" w:hAnsi="Calibri"/>
                <w:b/>
                <w:color w:val="0B2545"/>
                <w:sz w:val="15"/>
              </w:rPr>
              <w:t>Période</w:t>
            </w:r>
          </w:p>
        </w:tc>
        <w:tc>
          <w:tcPr>
            <w:tcW w:type="dxa" w:w="3096"/>
            <w:shd w:fill="F2F4F7"/>
            <w:vAlign w:val="center"/>
            <w:tcMar>
              <w:top w:w="80" w:type="dxa"/>
              <w:bottom w:w="80" w:type="dxa"/>
              <w:start w:w="120" w:type="dxa"/>
              <w:end w:w="120" w:type="dxa"/>
            </w:tcMar>
          </w:tcPr>
          <w:p>
            <w:pPr>
              <w:spacing w:before="20" w:after="20"/>
            </w:pPr>
            <w:r>
              <w:rPr>
                <w:rFonts w:ascii="Calibri" w:hAnsi="Calibri"/>
                <w:b/>
                <w:color w:val="0B2545"/>
                <w:sz w:val="15"/>
              </w:rPr>
              <w:t>Action</w:t>
            </w:r>
          </w:p>
        </w:tc>
        <w:tc>
          <w:tcPr>
            <w:tcW w:type="dxa" w:w="1152"/>
            <w:shd w:fill="F2F4F7"/>
            <w:vAlign w:val="center"/>
            <w:tcMar>
              <w:top w:w="80" w:type="dxa"/>
              <w:bottom w:w="80" w:type="dxa"/>
              <w:start w:w="120" w:type="dxa"/>
              <w:end w:w="120" w:type="dxa"/>
            </w:tcMar>
          </w:tcPr>
          <w:p>
            <w:pPr>
              <w:spacing w:before="20" w:after="20"/>
            </w:pPr>
            <w:r>
              <w:rPr>
                <w:rFonts w:ascii="Calibri" w:hAnsi="Calibri"/>
                <w:b/>
                <w:color w:val="0B2545"/>
                <w:sz w:val="15"/>
              </w:rPr>
              <w:t>Owner</w:t>
            </w:r>
          </w:p>
        </w:tc>
        <w:tc>
          <w:tcPr>
            <w:tcW w:type="dxa" w:w="2520"/>
            <w:shd w:fill="F2F4F7"/>
            <w:vAlign w:val="center"/>
            <w:tcMar>
              <w:top w:w="80" w:type="dxa"/>
              <w:bottom w:w="80" w:type="dxa"/>
              <w:start w:w="120" w:type="dxa"/>
              <w:end w:w="120" w:type="dxa"/>
            </w:tcMar>
          </w:tcPr>
          <w:p>
            <w:pPr>
              <w:spacing w:before="20" w:after="20"/>
            </w:pPr>
            <w:r>
              <w:rPr>
                <w:rFonts w:ascii="Calibri" w:hAnsi="Calibri"/>
                <w:b/>
                <w:color w:val="0B2545"/>
                <w:sz w:val="15"/>
              </w:rPr>
              <w:t>Modalités</w:t>
            </w:r>
          </w:p>
        </w:tc>
        <w:tc>
          <w:tcPr>
            <w:tcW w:type="dxa" w:w="1800"/>
            <w:shd w:fill="F2F4F7"/>
            <w:vAlign w:val="center"/>
            <w:tcMar>
              <w:top w:w="80" w:type="dxa"/>
              <w:bottom w:w="80" w:type="dxa"/>
              <w:start w:w="120" w:type="dxa"/>
              <w:end w:w="120" w:type="dxa"/>
            </w:tcMar>
          </w:tcPr>
          <w:p>
            <w:pPr>
              <w:spacing w:before="20" w:after="20"/>
            </w:pPr>
            <w:r>
              <w:rPr>
                <w:rFonts w:ascii="Calibri" w:hAnsi="Calibri"/>
                <w:b/>
                <w:color w:val="0B2545"/>
                <w:sz w:val="15"/>
              </w:rPr>
              <w:t>Livrable/KPI</w:t>
            </w:r>
          </w:p>
        </w:tc>
      </w:tr>
      <w:tr>
        <w:trPr>
          <w:cantSplit/>
        </w:trPr>
        <w:tc>
          <w:tcPr>
            <w:tcW w:type="dxa" w:w="792"/>
            <w:vAlign w:val="top"/>
            <w:tcMar>
              <w:top w:w="80" w:type="dxa"/>
              <w:bottom w:w="80" w:type="dxa"/>
              <w:start w:w="120" w:type="dxa"/>
              <w:end w:w="120" w:type="dxa"/>
            </w:tcMar>
          </w:tcPr>
          <w:p>
            <w:pPr>
              <w:spacing w:before="0" w:after="40" w:line="240" w:lineRule="auto"/>
            </w:pPr>
            <w:r>
              <w:rPr>
                <w:rFonts w:ascii="Calibri" w:hAnsi="Calibri"/>
                <w:b/>
                <w:color w:val="1D2630"/>
                <w:sz w:val="15"/>
              </w:rPr>
              <w:t>S1</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5"/>
              </w:rPr>
              <w:t>Créer/compléter le compte Kuehne+Nagel dans Dolibarr</w:t>
            </w:r>
          </w:p>
        </w:tc>
        <w:tc>
          <w:tcPr>
            <w:tcW w:type="dxa" w:w="1152"/>
            <w:vAlign w:val="top"/>
            <w:tcMar>
              <w:top w:w="80" w:type="dxa"/>
              <w:bottom w:w="80" w:type="dxa"/>
              <w:start w:w="120" w:type="dxa"/>
              <w:end w:w="120" w:type="dxa"/>
            </w:tcMar>
          </w:tcPr>
          <w:p>
            <w:pPr>
              <w:spacing w:before="0" w:after="40" w:line="240" w:lineRule="auto"/>
            </w:pPr>
            <w:r>
              <w:rPr>
                <w:rFonts w:ascii="Calibri" w:hAnsi="Calibri"/>
                <w:b w:val="0"/>
                <w:color w:val="1D2630"/>
                <w:sz w:val="15"/>
              </w:rPr>
              <w:t>David</w:t>
            </w:r>
          </w:p>
        </w:tc>
        <w:tc>
          <w:tcPr>
            <w:tcW w:type="dxa" w:w="2520"/>
            <w:vAlign w:val="top"/>
            <w:tcMar>
              <w:top w:w="80" w:type="dxa"/>
              <w:bottom w:w="80" w:type="dxa"/>
              <w:start w:w="120" w:type="dxa"/>
              <w:end w:w="120" w:type="dxa"/>
            </w:tcMar>
          </w:tcPr>
          <w:p>
            <w:pPr>
              <w:spacing w:before="0" w:after="40" w:line="240" w:lineRule="auto"/>
            </w:pPr>
            <w:r>
              <w:rPr>
                <w:rFonts w:ascii="Calibri" w:hAnsi="Calibri"/>
                <w:b w:val="0"/>
                <w:color w:val="1D2630"/>
                <w:sz w:val="15"/>
              </w:rPr>
              <w:t>Compte, entités, sites, CA, statut stratégique et source</w:t>
            </w:r>
          </w:p>
        </w:tc>
        <w:tc>
          <w:tcPr>
            <w:tcW w:type="dxa" w:w="1800"/>
            <w:vAlign w:val="top"/>
            <w:tcMar>
              <w:top w:w="80" w:type="dxa"/>
              <w:bottom w:w="80" w:type="dxa"/>
              <w:start w:w="120" w:type="dxa"/>
              <w:end w:w="120" w:type="dxa"/>
            </w:tcMar>
          </w:tcPr>
          <w:p>
            <w:pPr>
              <w:spacing w:before="0" w:after="40" w:line="240" w:lineRule="auto"/>
            </w:pPr>
            <w:r>
              <w:rPr>
                <w:rFonts w:ascii="Calibri" w:hAnsi="Calibri"/>
                <w:b w:val="0"/>
                <w:color w:val="1D2630"/>
                <w:sz w:val="15"/>
              </w:rPr>
              <w:t>Fiche compte complète</w:t>
            </w:r>
          </w:p>
        </w:tc>
      </w:tr>
      <w:tr>
        <w:trPr>
          <w:cantSplit/>
        </w:trPr>
        <w:tc>
          <w:tcPr>
            <w:tcW w:type="dxa" w:w="792"/>
            <w:vAlign w:val="top"/>
            <w:tcMar>
              <w:top w:w="80" w:type="dxa"/>
              <w:bottom w:w="80" w:type="dxa"/>
              <w:start w:w="120" w:type="dxa"/>
              <w:end w:w="120" w:type="dxa"/>
            </w:tcMar>
          </w:tcPr>
          <w:p>
            <w:pPr>
              <w:spacing w:before="0" w:after="40" w:line="240" w:lineRule="auto"/>
            </w:pPr>
            <w:r>
              <w:rPr>
                <w:rFonts w:ascii="Calibri" w:hAnsi="Calibri"/>
                <w:b/>
                <w:color w:val="1D2630"/>
                <w:sz w:val="15"/>
              </w:rPr>
              <w:t>S1</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5"/>
              </w:rPr>
              <w:t>Créer les 9 contacts prioritaires</w:t>
            </w:r>
          </w:p>
        </w:tc>
        <w:tc>
          <w:tcPr>
            <w:tcW w:type="dxa" w:w="1152"/>
            <w:vAlign w:val="top"/>
            <w:tcMar>
              <w:top w:w="80" w:type="dxa"/>
              <w:bottom w:w="80" w:type="dxa"/>
              <w:start w:w="120" w:type="dxa"/>
              <w:end w:w="120" w:type="dxa"/>
            </w:tcMar>
          </w:tcPr>
          <w:p>
            <w:pPr>
              <w:spacing w:before="0" w:after="40" w:line="240" w:lineRule="auto"/>
            </w:pPr>
            <w:r>
              <w:rPr>
                <w:rFonts w:ascii="Calibri" w:hAnsi="Calibri"/>
                <w:b w:val="0"/>
                <w:color w:val="1D2630"/>
                <w:sz w:val="15"/>
              </w:rPr>
              <w:t>Jovan</w:t>
            </w:r>
          </w:p>
        </w:tc>
        <w:tc>
          <w:tcPr>
            <w:tcW w:type="dxa" w:w="2520"/>
            <w:vAlign w:val="top"/>
            <w:tcMar>
              <w:top w:w="80" w:type="dxa"/>
              <w:bottom w:w="80" w:type="dxa"/>
              <w:start w:w="120" w:type="dxa"/>
              <w:end w:w="120" w:type="dxa"/>
            </w:tcMar>
          </w:tcPr>
          <w:p>
            <w:pPr>
              <w:spacing w:before="0" w:after="40" w:line="240" w:lineRule="auto"/>
            </w:pPr>
            <w:r>
              <w:rPr>
                <w:rFonts w:ascii="Calibri" w:hAnsi="Calibri"/>
                <w:b w:val="0"/>
                <w:color w:val="1D2630"/>
                <w:sz w:val="15"/>
              </w:rPr>
              <w:t>Fonction, localisation, LinkedIn, statut email/téléphone</w:t>
            </w:r>
          </w:p>
        </w:tc>
        <w:tc>
          <w:tcPr>
            <w:tcW w:type="dxa" w:w="1800"/>
            <w:vAlign w:val="top"/>
            <w:tcMar>
              <w:top w:w="80" w:type="dxa"/>
              <w:bottom w:w="80" w:type="dxa"/>
              <w:start w:w="120" w:type="dxa"/>
              <w:end w:w="120" w:type="dxa"/>
            </w:tcMar>
          </w:tcPr>
          <w:p>
            <w:pPr>
              <w:spacing w:before="0" w:after="40" w:line="240" w:lineRule="auto"/>
            </w:pPr>
            <w:r>
              <w:rPr>
                <w:rFonts w:ascii="Calibri" w:hAnsi="Calibri"/>
                <w:b w:val="0"/>
                <w:color w:val="1D2630"/>
                <w:sz w:val="15"/>
              </w:rPr>
              <w:t>9 contacts qualifiés</w:t>
            </w:r>
          </w:p>
        </w:tc>
      </w:tr>
      <w:tr>
        <w:trPr>
          <w:cantSplit/>
        </w:trPr>
        <w:tc>
          <w:tcPr>
            <w:tcW w:type="dxa" w:w="792"/>
            <w:vAlign w:val="top"/>
            <w:tcMar>
              <w:top w:w="80" w:type="dxa"/>
              <w:bottom w:w="80" w:type="dxa"/>
              <w:start w:w="120" w:type="dxa"/>
              <w:end w:w="120" w:type="dxa"/>
            </w:tcMar>
          </w:tcPr>
          <w:p>
            <w:pPr>
              <w:spacing w:before="0" w:after="40" w:line="240" w:lineRule="auto"/>
            </w:pPr>
            <w:r>
              <w:rPr>
                <w:rFonts w:ascii="Calibri" w:hAnsi="Calibri"/>
                <w:b/>
                <w:color w:val="1D2630"/>
                <w:sz w:val="15"/>
              </w:rPr>
              <w:t>S1</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5"/>
              </w:rPr>
              <w:t>Créer l'opportunité 'K+N France - renforts IT 2026-2027'</w:t>
            </w:r>
          </w:p>
        </w:tc>
        <w:tc>
          <w:tcPr>
            <w:tcW w:type="dxa" w:w="1152"/>
            <w:vAlign w:val="top"/>
            <w:tcMar>
              <w:top w:w="80" w:type="dxa"/>
              <w:bottom w:w="80" w:type="dxa"/>
              <w:start w:w="120" w:type="dxa"/>
              <w:end w:w="120" w:type="dxa"/>
            </w:tcMar>
          </w:tcPr>
          <w:p>
            <w:pPr>
              <w:spacing w:before="0" w:after="40" w:line="240" w:lineRule="auto"/>
            </w:pPr>
            <w:r>
              <w:rPr>
                <w:rFonts w:ascii="Calibri" w:hAnsi="Calibri"/>
                <w:b w:val="0"/>
                <w:color w:val="1D2630"/>
                <w:sz w:val="15"/>
              </w:rPr>
              <w:t>David</w:t>
            </w:r>
          </w:p>
        </w:tc>
        <w:tc>
          <w:tcPr>
            <w:tcW w:type="dxa" w:w="2520"/>
            <w:vAlign w:val="top"/>
            <w:tcMar>
              <w:top w:w="80" w:type="dxa"/>
              <w:bottom w:w="80" w:type="dxa"/>
              <w:start w:w="120" w:type="dxa"/>
              <w:end w:w="120" w:type="dxa"/>
            </w:tcMar>
          </w:tcPr>
          <w:p>
            <w:pPr>
              <w:spacing w:before="0" w:after="40" w:line="240" w:lineRule="auto"/>
            </w:pPr>
            <w:r>
              <w:rPr>
                <w:rFonts w:ascii="Calibri" w:hAnsi="Calibri"/>
                <w:b w:val="0"/>
                <w:color w:val="1D2630"/>
                <w:sz w:val="15"/>
              </w:rPr>
              <w:t>Montant cible initial 300 k€, probabilité 10 %</w:t>
            </w:r>
          </w:p>
        </w:tc>
        <w:tc>
          <w:tcPr>
            <w:tcW w:type="dxa" w:w="1800"/>
            <w:vAlign w:val="top"/>
            <w:tcMar>
              <w:top w:w="80" w:type="dxa"/>
              <w:bottom w:w="80" w:type="dxa"/>
              <w:start w:w="120" w:type="dxa"/>
              <w:end w:w="120" w:type="dxa"/>
            </w:tcMar>
          </w:tcPr>
          <w:p>
            <w:pPr>
              <w:spacing w:before="0" w:after="40" w:line="240" w:lineRule="auto"/>
            </w:pPr>
            <w:r>
              <w:rPr>
                <w:rFonts w:ascii="Calibri" w:hAnsi="Calibri"/>
                <w:b w:val="0"/>
                <w:color w:val="1D2630"/>
                <w:sz w:val="15"/>
              </w:rPr>
              <w:t>Opportunité ouverte</w:t>
            </w:r>
          </w:p>
        </w:tc>
      </w:tr>
      <w:tr>
        <w:trPr>
          <w:cantSplit/>
        </w:trPr>
        <w:tc>
          <w:tcPr>
            <w:tcW w:type="dxa" w:w="792"/>
            <w:vAlign w:val="top"/>
            <w:tcMar>
              <w:top w:w="80" w:type="dxa"/>
              <w:bottom w:w="80" w:type="dxa"/>
              <w:start w:w="120" w:type="dxa"/>
              <w:end w:w="120" w:type="dxa"/>
            </w:tcMar>
          </w:tcPr>
          <w:p>
            <w:pPr>
              <w:spacing w:before="0" w:after="40" w:line="240" w:lineRule="auto"/>
            </w:pPr>
            <w:r>
              <w:rPr>
                <w:rFonts w:ascii="Calibri" w:hAnsi="Calibri"/>
                <w:b/>
                <w:color w:val="1D2630"/>
                <w:sz w:val="15"/>
              </w:rPr>
              <w:t>S1-S2</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5"/>
              </w:rPr>
              <w:t>Produire une présentation Tilencia dédiée de 2 pages</w:t>
            </w:r>
          </w:p>
        </w:tc>
        <w:tc>
          <w:tcPr>
            <w:tcW w:type="dxa" w:w="1152"/>
            <w:vAlign w:val="top"/>
            <w:tcMar>
              <w:top w:w="80" w:type="dxa"/>
              <w:bottom w:w="80" w:type="dxa"/>
              <w:start w:w="120" w:type="dxa"/>
              <w:end w:w="120" w:type="dxa"/>
            </w:tcMar>
          </w:tcPr>
          <w:p>
            <w:pPr>
              <w:spacing w:before="0" w:after="40" w:line="240" w:lineRule="auto"/>
            </w:pPr>
            <w:r>
              <w:rPr>
                <w:rFonts w:ascii="Calibri" w:hAnsi="Calibri"/>
                <w:b w:val="0"/>
                <w:color w:val="1D2630"/>
                <w:sz w:val="15"/>
              </w:rPr>
              <w:t>David/Pierre</w:t>
            </w:r>
          </w:p>
        </w:tc>
        <w:tc>
          <w:tcPr>
            <w:tcW w:type="dxa" w:w="2520"/>
            <w:vAlign w:val="top"/>
            <w:tcMar>
              <w:top w:w="80" w:type="dxa"/>
              <w:bottom w:w="80" w:type="dxa"/>
              <w:start w:w="120" w:type="dxa"/>
              <w:end w:w="120" w:type="dxa"/>
            </w:tcMar>
          </w:tcPr>
          <w:p>
            <w:pPr>
              <w:spacing w:before="0" w:after="40" w:line="240" w:lineRule="auto"/>
            </w:pPr>
            <w:r>
              <w:rPr>
                <w:rFonts w:ascii="Calibri" w:hAnsi="Calibri"/>
                <w:b w:val="0"/>
                <w:color w:val="1D2630"/>
                <w:sz w:val="15"/>
              </w:rPr>
              <w:t>WMS, EDI, data, cloud, cyber, pilotage</w:t>
            </w:r>
          </w:p>
        </w:tc>
        <w:tc>
          <w:tcPr>
            <w:tcW w:type="dxa" w:w="1800"/>
            <w:vAlign w:val="top"/>
            <w:tcMar>
              <w:top w:w="80" w:type="dxa"/>
              <w:bottom w:w="80" w:type="dxa"/>
              <w:start w:w="120" w:type="dxa"/>
              <w:end w:w="120" w:type="dxa"/>
            </w:tcMar>
          </w:tcPr>
          <w:p>
            <w:pPr>
              <w:spacing w:before="0" w:after="40" w:line="240" w:lineRule="auto"/>
            </w:pPr>
            <w:r>
              <w:rPr>
                <w:rFonts w:ascii="Calibri" w:hAnsi="Calibri"/>
                <w:b w:val="0"/>
                <w:color w:val="1D2630"/>
                <w:sz w:val="15"/>
              </w:rPr>
              <w:t>Support de rendez-vous</w:t>
            </w:r>
          </w:p>
        </w:tc>
      </w:tr>
      <w:tr>
        <w:trPr>
          <w:cantSplit/>
        </w:trPr>
        <w:tc>
          <w:tcPr>
            <w:tcW w:type="dxa" w:w="792"/>
            <w:vAlign w:val="top"/>
            <w:tcMar>
              <w:top w:w="80" w:type="dxa"/>
              <w:bottom w:w="80" w:type="dxa"/>
              <w:start w:w="120" w:type="dxa"/>
              <w:end w:w="120" w:type="dxa"/>
            </w:tcMar>
          </w:tcPr>
          <w:p>
            <w:pPr>
              <w:spacing w:before="0" w:after="40" w:line="240" w:lineRule="auto"/>
            </w:pPr>
            <w:r>
              <w:rPr>
                <w:rFonts w:ascii="Calibri" w:hAnsi="Calibri"/>
                <w:b/>
                <w:color w:val="1D2630"/>
                <w:sz w:val="15"/>
              </w:rPr>
              <w:t>S1-S3</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5"/>
              </w:rPr>
              <w:t>Constituer le vivier prioritaire</w:t>
            </w:r>
          </w:p>
        </w:tc>
        <w:tc>
          <w:tcPr>
            <w:tcW w:type="dxa" w:w="1152"/>
            <w:vAlign w:val="top"/>
            <w:tcMar>
              <w:top w:w="80" w:type="dxa"/>
              <w:bottom w:w="80" w:type="dxa"/>
              <w:start w:w="120" w:type="dxa"/>
              <w:end w:w="120" w:type="dxa"/>
            </w:tcMar>
          </w:tcPr>
          <w:p>
            <w:pPr>
              <w:spacing w:before="0" w:after="40" w:line="240" w:lineRule="auto"/>
            </w:pPr>
            <w:r>
              <w:rPr>
                <w:rFonts w:ascii="Calibri" w:hAnsi="Calibri"/>
                <w:b w:val="0"/>
                <w:color w:val="1D2630"/>
                <w:sz w:val="15"/>
              </w:rPr>
              <w:t>Marie</w:t>
            </w:r>
          </w:p>
        </w:tc>
        <w:tc>
          <w:tcPr>
            <w:tcW w:type="dxa" w:w="2520"/>
            <w:vAlign w:val="top"/>
            <w:tcMar>
              <w:top w:w="80" w:type="dxa"/>
              <w:bottom w:w="80" w:type="dxa"/>
              <w:start w:w="120" w:type="dxa"/>
              <w:end w:w="120" w:type="dxa"/>
            </w:tcMar>
          </w:tcPr>
          <w:p>
            <w:pPr>
              <w:spacing w:before="0" w:after="40" w:line="240" w:lineRule="auto"/>
            </w:pPr>
            <w:r>
              <w:rPr>
                <w:rFonts w:ascii="Calibri" w:hAnsi="Calibri"/>
                <w:b w:val="0"/>
                <w:color w:val="1D2630"/>
                <w:sz w:val="15"/>
              </w:rPr>
              <w:t>5 WMS, 3 EDI, 4 PMO/tests/cutover</w:t>
            </w:r>
          </w:p>
        </w:tc>
        <w:tc>
          <w:tcPr>
            <w:tcW w:type="dxa" w:w="1800"/>
            <w:vAlign w:val="top"/>
            <w:tcMar>
              <w:top w:w="80" w:type="dxa"/>
              <w:bottom w:w="80" w:type="dxa"/>
              <w:start w:w="120" w:type="dxa"/>
              <w:end w:w="120" w:type="dxa"/>
            </w:tcMar>
          </w:tcPr>
          <w:p>
            <w:pPr>
              <w:spacing w:before="0" w:after="40" w:line="240" w:lineRule="auto"/>
            </w:pPr>
            <w:r>
              <w:rPr>
                <w:rFonts w:ascii="Calibri" w:hAnsi="Calibri"/>
                <w:b w:val="0"/>
                <w:color w:val="1D2630"/>
                <w:sz w:val="15"/>
              </w:rPr>
              <w:t>12 profils qualifiés</w:t>
            </w:r>
          </w:p>
        </w:tc>
      </w:tr>
      <w:tr>
        <w:trPr>
          <w:cantSplit/>
        </w:trPr>
        <w:tc>
          <w:tcPr>
            <w:tcW w:type="dxa" w:w="792"/>
            <w:vAlign w:val="top"/>
            <w:tcMar>
              <w:top w:w="80" w:type="dxa"/>
              <w:bottom w:w="80" w:type="dxa"/>
              <w:start w:w="120" w:type="dxa"/>
              <w:end w:w="120" w:type="dxa"/>
            </w:tcMar>
          </w:tcPr>
          <w:p>
            <w:pPr>
              <w:spacing w:before="0" w:after="40" w:line="240" w:lineRule="auto"/>
            </w:pPr>
            <w:r>
              <w:rPr>
                <w:rFonts w:ascii="Calibri" w:hAnsi="Calibri"/>
                <w:b/>
                <w:color w:val="1D2630"/>
                <w:sz w:val="15"/>
              </w:rPr>
              <w:t>S2</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5"/>
              </w:rPr>
              <w:t>Envoyer les invitations LinkedIn IT/Gouvernance</w:t>
            </w:r>
          </w:p>
        </w:tc>
        <w:tc>
          <w:tcPr>
            <w:tcW w:type="dxa" w:w="1152"/>
            <w:vAlign w:val="top"/>
            <w:tcMar>
              <w:top w:w="80" w:type="dxa"/>
              <w:bottom w:w="80" w:type="dxa"/>
              <w:start w:w="120" w:type="dxa"/>
              <w:end w:w="120" w:type="dxa"/>
            </w:tcMar>
          </w:tcPr>
          <w:p>
            <w:pPr>
              <w:spacing w:before="0" w:after="40" w:line="240" w:lineRule="auto"/>
            </w:pPr>
            <w:r>
              <w:rPr>
                <w:rFonts w:ascii="Calibri" w:hAnsi="Calibri"/>
                <w:b w:val="0"/>
                <w:color w:val="1D2630"/>
                <w:sz w:val="15"/>
              </w:rPr>
              <w:t>David/Jovan</w:t>
            </w:r>
          </w:p>
        </w:tc>
        <w:tc>
          <w:tcPr>
            <w:tcW w:type="dxa" w:w="2520"/>
            <w:vAlign w:val="top"/>
            <w:tcMar>
              <w:top w:w="80" w:type="dxa"/>
              <w:bottom w:w="80" w:type="dxa"/>
              <w:start w:w="120" w:type="dxa"/>
              <w:end w:w="120" w:type="dxa"/>
            </w:tcMar>
          </w:tcPr>
          <w:p>
            <w:pPr>
              <w:spacing w:before="0" w:after="40" w:line="240" w:lineRule="auto"/>
            </w:pPr>
            <w:r>
              <w:rPr>
                <w:rFonts w:ascii="Calibri" w:hAnsi="Calibri"/>
                <w:b w:val="0"/>
                <w:color w:val="1D2630"/>
                <w:sz w:val="15"/>
              </w:rPr>
              <w:t>Messages personnalisés et non génériques</w:t>
            </w:r>
          </w:p>
        </w:tc>
        <w:tc>
          <w:tcPr>
            <w:tcW w:type="dxa" w:w="1800"/>
            <w:vAlign w:val="top"/>
            <w:tcMar>
              <w:top w:w="80" w:type="dxa"/>
              <w:bottom w:w="80" w:type="dxa"/>
              <w:start w:w="120" w:type="dxa"/>
              <w:end w:w="120" w:type="dxa"/>
            </w:tcMar>
          </w:tcPr>
          <w:p>
            <w:pPr>
              <w:spacing w:before="0" w:after="40" w:line="240" w:lineRule="auto"/>
            </w:pPr>
            <w:r>
              <w:rPr>
                <w:rFonts w:ascii="Calibri" w:hAnsi="Calibri"/>
                <w:b w:val="0"/>
                <w:color w:val="1D2630"/>
                <w:sz w:val="15"/>
              </w:rPr>
              <w:t>6 invitations ciblées</w:t>
            </w:r>
          </w:p>
        </w:tc>
      </w:tr>
      <w:tr>
        <w:trPr>
          <w:cantSplit/>
        </w:trPr>
        <w:tc>
          <w:tcPr>
            <w:tcW w:type="dxa" w:w="792"/>
            <w:vAlign w:val="top"/>
            <w:tcMar>
              <w:top w:w="80" w:type="dxa"/>
              <w:bottom w:w="80" w:type="dxa"/>
              <w:start w:w="120" w:type="dxa"/>
              <w:end w:w="120" w:type="dxa"/>
            </w:tcMar>
          </w:tcPr>
          <w:p>
            <w:pPr>
              <w:spacing w:before="0" w:after="40" w:line="240" w:lineRule="auto"/>
            </w:pPr>
            <w:r>
              <w:rPr>
                <w:rFonts w:ascii="Calibri" w:hAnsi="Calibri"/>
                <w:b/>
                <w:color w:val="1D2630"/>
                <w:sz w:val="15"/>
              </w:rPr>
              <w:t>S2-S3</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5"/>
              </w:rPr>
              <w:t>Envoyer les courriels IT après vérification des adresses</w:t>
            </w:r>
          </w:p>
        </w:tc>
        <w:tc>
          <w:tcPr>
            <w:tcW w:type="dxa" w:w="1152"/>
            <w:vAlign w:val="top"/>
            <w:tcMar>
              <w:top w:w="80" w:type="dxa"/>
              <w:bottom w:w="80" w:type="dxa"/>
              <w:start w:w="120" w:type="dxa"/>
              <w:end w:w="120" w:type="dxa"/>
            </w:tcMar>
          </w:tcPr>
          <w:p>
            <w:pPr>
              <w:spacing w:before="0" w:after="40" w:line="240" w:lineRule="auto"/>
            </w:pPr>
            <w:r>
              <w:rPr>
                <w:rFonts w:ascii="Calibri" w:hAnsi="Calibri"/>
                <w:b w:val="0"/>
                <w:color w:val="1D2630"/>
                <w:sz w:val="15"/>
              </w:rPr>
              <w:t>David</w:t>
            </w:r>
          </w:p>
        </w:tc>
        <w:tc>
          <w:tcPr>
            <w:tcW w:type="dxa" w:w="2520"/>
            <w:vAlign w:val="top"/>
            <w:tcMar>
              <w:top w:w="80" w:type="dxa"/>
              <w:bottom w:w="80" w:type="dxa"/>
              <w:start w:w="120" w:type="dxa"/>
              <w:end w:w="120" w:type="dxa"/>
            </w:tcMar>
          </w:tcPr>
          <w:p>
            <w:pPr>
              <w:spacing w:before="0" w:after="40" w:line="240" w:lineRule="auto"/>
            </w:pPr>
            <w:r>
              <w:rPr>
                <w:rFonts w:ascii="Calibri" w:hAnsi="Calibri"/>
                <w:b w:val="0"/>
                <w:color w:val="1D2630"/>
                <w:sz w:val="15"/>
              </w:rPr>
              <w:t>Bruno Mahier puis Anne Courrier</w:t>
            </w:r>
          </w:p>
        </w:tc>
        <w:tc>
          <w:tcPr>
            <w:tcW w:type="dxa" w:w="1800"/>
            <w:vAlign w:val="top"/>
            <w:tcMar>
              <w:top w:w="80" w:type="dxa"/>
              <w:bottom w:w="80" w:type="dxa"/>
              <w:start w:w="120" w:type="dxa"/>
              <w:end w:w="120" w:type="dxa"/>
            </w:tcMar>
          </w:tcPr>
          <w:p>
            <w:pPr>
              <w:spacing w:before="0" w:after="40" w:line="240" w:lineRule="auto"/>
            </w:pPr>
            <w:r>
              <w:rPr>
                <w:rFonts w:ascii="Calibri" w:hAnsi="Calibri"/>
                <w:b w:val="0"/>
                <w:color w:val="1D2630"/>
                <w:sz w:val="15"/>
              </w:rPr>
              <w:t>2 séquences lancées</w:t>
            </w:r>
          </w:p>
        </w:tc>
      </w:tr>
      <w:tr>
        <w:trPr>
          <w:cantSplit/>
        </w:trPr>
        <w:tc>
          <w:tcPr>
            <w:tcW w:type="dxa" w:w="792"/>
            <w:vAlign w:val="top"/>
            <w:tcMar>
              <w:top w:w="80" w:type="dxa"/>
              <w:bottom w:w="80" w:type="dxa"/>
              <w:start w:w="120" w:type="dxa"/>
              <w:end w:w="120" w:type="dxa"/>
            </w:tcMar>
          </w:tcPr>
          <w:p>
            <w:pPr>
              <w:spacing w:before="0" w:after="40" w:line="240" w:lineRule="auto"/>
            </w:pPr>
            <w:r>
              <w:rPr>
                <w:rFonts w:ascii="Calibri" w:hAnsi="Calibri"/>
                <w:b/>
                <w:color w:val="1D2630"/>
                <w:sz w:val="15"/>
              </w:rPr>
              <w:t>S3-S4</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5"/>
              </w:rPr>
              <w:t>Relancer par téléphone ou réseau</w:t>
            </w:r>
          </w:p>
        </w:tc>
        <w:tc>
          <w:tcPr>
            <w:tcW w:type="dxa" w:w="1152"/>
            <w:vAlign w:val="top"/>
            <w:tcMar>
              <w:top w:w="80" w:type="dxa"/>
              <w:bottom w:w="80" w:type="dxa"/>
              <w:start w:w="120" w:type="dxa"/>
              <w:end w:w="120" w:type="dxa"/>
            </w:tcMar>
          </w:tcPr>
          <w:p>
            <w:pPr>
              <w:spacing w:before="0" w:after="40" w:line="240" w:lineRule="auto"/>
            </w:pPr>
            <w:r>
              <w:rPr>
                <w:rFonts w:ascii="Calibri" w:hAnsi="Calibri"/>
                <w:b w:val="0"/>
                <w:color w:val="1D2630"/>
                <w:sz w:val="15"/>
              </w:rPr>
              <w:t>David/Pierre</w:t>
            </w:r>
          </w:p>
        </w:tc>
        <w:tc>
          <w:tcPr>
            <w:tcW w:type="dxa" w:w="2520"/>
            <w:vAlign w:val="top"/>
            <w:tcMar>
              <w:top w:w="80" w:type="dxa"/>
              <w:bottom w:w="80" w:type="dxa"/>
              <w:start w:w="120" w:type="dxa"/>
              <w:end w:w="120" w:type="dxa"/>
            </w:tcMar>
          </w:tcPr>
          <w:p>
            <w:pPr>
              <w:spacing w:before="0" w:after="40" w:line="240" w:lineRule="auto"/>
            </w:pPr>
            <w:r>
              <w:rPr>
                <w:rFonts w:ascii="Calibri" w:hAnsi="Calibri"/>
                <w:b w:val="0"/>
                <w:color w:val="1D2630"/>
                <w:sz w:val="15"/>
              </w:rPr>
              <w:t>Standard, relations communes, partenaires</w:t>
            </w:r>
          </w:p>
        </w:tc>
        <w:tc>
          <w:tcPr>
            <w:tcW w:type="dxa" w:w="1800"/>
            <w:vAlign w:val="top"/>
            <w:tcMar>
              <w:top w:w="80" w:type="dxa"/>
              <w:bottom w:w="80" w:type="dxa"/>
              <w:start w:w="120" w:type="dxa"/>
              <w:end w:w="120" w:type="dxa"/>
            </w:tcMar>
          </w:tcPr>
          <w:p>
            <w:pPr>
              <w:spacing w:before="0" w:after="40" w:line="240" w:lineRule="auto"/>
            </w:pPr>
            <w:r>
              <w:rPr>
                <w:rFonts w:ascii="Calibri" w:hAnsi="Calibri"/>
                <w:b w:val="0"/>
                <w:color w:val="1D2630"/>
                <w:sz w:val="15"/>
              </w:rPr>
              <w:t>1 échange obtenu</w:t>
            </w:r>
          </w:p>
        </w:tc>
      </w:tr>
      <w:tr>
        <w:trPr>
          <w:cantSplit/>
        </w:trPr>
        <w:tc>
          <w:tcPr>
            <w:tcW w:type="dxa" w:w="792"/>
            <w:vAlign w:val="top"/>
            <w:tcMar>
              <w:top w:w="80" w:type="dxa"/>
              <w:bottom w:w="80" w:type="dxa"/>
              <w:start w:w="120" w:type="dxa"/>
              <w:end w:w="120" w:type="dxa"/>
            </w:tcMar>
          </w:tcPr>
          <w:p>
            <w:pPr>
              <w:spacing w:before="0" w:after="40" w:line="240" w:lineRule="auto"/>
            </w:pPr>
            <w:r>
              <w:rPr>
                <w:rFonts w:ascii="Calibri" w:hAnsi="Calibri"/>
                <w:b/>
                <w:color w:val="1D2630"/>
                <w:sz w:val="15"/>
              </w:rPr>
              <w:t>S4</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5"/>
              </w:rPr>
              <w:t>Faire un point GO/NO GO</w:t>
            </w:r>
          </w:p>
        </w:tc>
        <w:tc>
          <w:tcPr>
            <w:tcW w:type="dxa" w:w="1152"/>
            <w:vAlign w:val="top"/>
            <w:tcMar>
              <w:top w:w="80" w:type="dxa"/>
              <w:bottom w:w="80" w:type="dxa"/>
              <w:start w:w="120" w:type="dxa"/>
              <w:end w:w="120" w:type="dxa"/>
            </w:tcMar>
          </w:tcPr>
          <w:p>
            <w:pPr>
              <w:spacing w:before="0" w:after="40" w:line="240" w:lineRule="auto"/>
            </w:pPr>
            <w:r>
              <w:rPr>
                <w:rFonts w:ascii="Calibri" w:hAnsi="Calibri"/>
                <w:b w:val="0"/>
                <w:color w:val="1D2630"/>
                <w:sz w:val="15"/>
              </w:rPr>
              <w:t>Équipe commerce</w:t>
            </w:r>
          </w:p>
        </w:tc>
        <w:tc>
          <w:tcPr>
            <w:tcW w:type="dxa" w:w="2520"/>
            <w:vAlign w:val="top"/>
            <w:tcMar>
              <w:top w:w="80" w:type="dxa"/>
              <w:bottom w:w="80" w:type="dxa"/>
              <w:start w:w="120" w:type="dxa"/>
              <w:end w:w="120" w:type="dxa"/>
            </w:tcMar>
          </w:tcPr>
          <w:p>
            <w:pPr>
              <w:spacing w:before="0" w:after="40" w:line="240" w:lineRule="auto"/>
            </w:pPr>
            <w:r>
              <w:rPr>
                <w:rFonts w:ascii="Calibri" w:hAnsi="Calibri"/>
                <w:b w:val="0"/>
                <w:color w:val="1D2630"/>
                <w:sz w:val="15"/>
              </w:rPr>
              <w:t>Réponses, intérêt, contacts et qualité du vivier</w:t>
            </w:r>
          </w:p>
        </w:tc>
        <w:tc>
          <w:tcPr>
            <w:tcW w:type="dxa" w:w="1800"/>
            <w:vAlign w:val="top"/>
            <w:tcMar>
              <w:top w:w="80" w:type="dxa"/>
              <w:bottom w:w="80" w:type="dxa"/>
              <w:start w:w="120" w:type="dxa"/>
              <w:end w:w="120" w:type="dxa"/>
            </w:tcMar>
          </w:tcPr>
          <w:p>
            <w:pPr>
              <w:spacing w:before="0" w:after="40" w:line="240" w:lineRule="auto"/>
            </w:pPr>
            <w:r>
              <w:rPr>
                <w:rFonts w:ascii="Calibri" w:hAnsi="Calibri"/>
                <w:b w:val="0"/>
                <w:color w:val="1D2630"/>
                <w:sz w:val="15"/>
              </w:rPr>
              <w:t>Décision de poursuite</w:t>
            </w:r>
          </w:p>
        </w:tc>
      </w:tr>
    </w:tbl>
    <w:p>
      <w:pPr>
        <w:spacing w:after="0"/>
      </w:pPr>
    </w:p>
    <w:p>
      <w:pPr>
        <w:pStyle w:val="Heading2"/>
      </w:pPr>
      <w:r>
        <w:t>9.3 Jours 31 à 60 - Qualifier le besoin et le référencement</w:t>
      </w:r>
    </w:p>
    <w:tbl>
      <w:tblPr>
        <w:tblStyle w:val="TableGrid"/>
        <w:tblW w:type="dxa" w:w="9360"/>
        <w:jc w:val="left"/>
        <w:tblLayout w:type="fixed"/>
        <w:tblLook w:firstColumn="1" w:firstRow="1" w:lastColumn="0" w:lastRow="0" w:noHBand="0" w:noVBand="1" w:val="04A0"/>
        <w:tblInd w:type="dxa" w:w="120"/>
      </w:tblPr>
      <w:tblGrid>
        <w:gridCol w:w="792"/>
        <w:gridCol w:w="3096"/>
        <w:gridCol w:w="1152"/>
        <w:gridCol w:w="2520"/>
        <w:gridCol w:w="1800"/>
      </w:tblGrid>
      <w:tr>
        <w:trPr>
          <w:tblHeader w:val="true"/>
          <w:cantSplit/>
        </w:trPr>
        <w:tc>
          <w:tcPr>
            <w:tcW w:type="dxa" w:w="792"/>
            <w:shd w:fill="F2F4F7"/>
            <w:vAlign w:val="center"/>
            <w:tcMar>
              <w:top w:w="80" w:type="dxa"/>
              <w:bottom w:w="80" w:type="dxa"/>
              <w:start w:w="120" w:type="dxa"/>
              <w:end w:w="120" w:type="dxa"/>
            </w:tcMar>
          </w:tcPr>
          <w:p>
            <w:pPr>
              <w:spacing w:before="20" w:after="20"/>
            </w:pPr>
            <w:r>
              <w:rPr>
                <w:rFonts w:ascii="Calibri" w:hAnsi="Calibri"/>
                <w:b/>
                <w:color w:val="0B2545"/>
                <w:sz w:val="15"/>
              </w:rPr>
              <w:t>Période</w:t>
            </w:r>
          </w:p>
        </w:tc>
        <w:tc>
          <w:tcPr>
            <w:tcW w:type="dxa" w:w="3096"/>
            <w:shd w:fill="F2F4F7"/>
            <w:vAlign w:val="center"/>
            <w:tcMar>
              <w:top w:w="80" w:type="dxa"/>
              <w:bottom w:w="80" w:type="dxa"/>
              <w:start w:w="120" w:type="dxa"/>
              <w:end w:w="120" w:type="dxa"/>
            </w:tcMar>
          </w:tcPr>
          <w:p>
            <w:pPr>
              <w:spacing w:before="20" w:after="20"/>
            </w:pPr>
            <w:r>
              <w:rPr>
                <w:rFonts w:ascii="Calibri" w:hAnsi="Calibri"/>
                <w:b/>
                <w:color w:val="0B2545"/>
                <w:sz w:val="15"/>
              </w:rPr>
              <w:t>Action</w:t>
            </w:r>
          </w:p>
        </w:tc>
        <w:tc>
          <w:tcPr>
            <w:tcW w:type="dxa" w:w="1152"/>
            <w:shd w:fill="F2F4F7"/>
            <w:vAlign w:val="center"/>
            <w:tcMar>
              <w:top w:w="80" w:type="dxa"/>
              <w:bottom w:w="80" w:type="dxa"/>
              <w:start w:w="120" w:type="dxa"/>
              <w:end w:w="120" w:type="dxa"/>
            </w:tcMar>
          </w:tcPr>
          <w:p>
            <w:pPr>
              <w:spacing w:before="20" w:after="20"/>
            </w:pPr>
            <w:r>
              <w:rPr>
                <w:rFonts w:ascii="Calibri" w:hAnsi="Calibri"/>
                <w:b/>
                <w:color w:val="0B2545"/>
                <w:sz w:val="15"/>
              </w:rPr>
              <w:t>Owner</w:t>
            </w:r>
          </w:p>
        </w:tc>
        <w:tc>
          <w:tcPr>
            <w:tcW w:type="dxa" w:w="2520"/>
            <w:shd w:fill="F2F4F7"/>
            <w:vAlign w:val="center"/>
            <w:tcMar>
              <w:top w:w="80" w:type="dxa"/>
              <w:bottom w:w="80" w:type="dxa"/>
              <w:start w:w="120" w:type="dxa"/>
              <w:end w:w="120" w:type="dxa"/>
            </w:tcMar>
          </w:tcPr>
          <w:p>
            <w:pPr>
              <w:spacing w:before="20" w:after="20"/>
            </w:pPr>
            <w:r>
              <w:rPr>
                <w:rFonts w:ascii="Calibri" w:hAnsi="Calibri"/>
                <w:b/>
                <w:color w:val="0B2545"/>
                <w:sz w:val="15"/>
              </w:rPr>
              <w:t>Modalités</w:t>
            </w:r>
          </w:p>
        </w:tc>
        <w:tc>
          <w:tcPr>
            <w:tcW w:type="dxa" w:w="1800"/>
            <w:shd w:fill="F2F4F7"/>
            <w:vAlign w:val="center"/>
            <w:tcMar>
              <w:top w:w="80" w:type="dxa"/>
              <w:bottom w:w="80" w:type="dxa"/>
              <w:start w:w="120" w:type="dxa"/>
              <w:end w:w="120" w:type="dxa"/>
            </w:tcMar>
          </w:tcPr>
          <w:p>
            <w:pPr>
              <w:spacing w:before="20" w:after="20"/>
            </w:pPr>
            <w:r>
              <w:rPr>
                <w:rFonts w:ascii="Calibri" w:hAnsi="Calibri"/>
                <w:b/>
                <w:color w:val="0B2545"/>
                <w:sz w:val="15"/>
              </w:rPr>
              <w:t>Livrable/KPI</w:t>
            </w:r>
          </w:p>
        </w:tc>
      </w:tr>
      <w:tr>
        <w:trPr>
          <w:cantSplit/>
        </w:trPr>
        <w:tc>
          <w:tcPr>
            <w:tcW w:type="dxa" w:w="792"/>
            <w:vAlign w:val="top"/>
            <w:tcMar>
              <w:top w:w="80" w:type="dxa"/>
              <w:bottom w:w="80" w:type="dxa"/>
              <w:start w:w="120" w:type="dxa"/>
              <w:end w:w="120" w:type="dxa"/>
            </w:tcMar>
          </w:tcPr>
          <w:p>
            <w:pPr>
              <w:spacing w:before="0" w:after="40" w:line="240" w:lineRule="auto"/>
            </w:pPr>
            <w:r>
              <w:rPr>
                <w:rFonts w:ascii="Calibri" w:hAnsi="Calibri"/>
                <w:b/>
                <w:color w:val="1D2630"/>
                <w:sz w:val="15"/>
              </w:rPr>
              <w:t>S5</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5"/>
              </w:rPr>
              <w:t>Réaliser l'entretien de découverte IT</w:t>
            </w:r>
          </w:p>
        </w:tc>
        <w:tc>
          <w:tcPr>
            <w:tcW w:type="dxa" w:w="1152"/>
            <w:vAlign w:val="top"/>
            <w:tcMar>
              <w:top w:w="80" w:type="dxa"/>
              <w:bottom w:w="80" w:type="dxa"/>
              <w:start w:w="120" w:type="dxa"/>
              <w:end w:w="120" w:type="dxa"/>
            </w:tcMar>
          </w:tcPr>
          <w:p>
            <w:pPr>
              <w:spacing w:before="0" w:after="40" w:line="240" w:lineRule="auto"/>
            </w:pPr>
            <w:r>
              <w:rPr>
                <w:rFonts w:ascii="Calibri" w:hAnsi="Calibri"/>
                <w:b w:val="0"/>
                <w:color w:val="1D2630"/>
                <w:sz w:val="15"/>
              </w:rPr>
              <w:t>David</w:t>
            </w:r>
          </w:p>
        </w:tc>
        <w:tc>
          <w:tcPr>
            <w:tcW w:type="dxa" w:w="2520"/>
            <w:vAlign w:val="top"/>
            <w:tcMar>
              <w:top w:w="80" w:type="dxa"/>
              <w:bottom w:w="80" w:type="dxa"/>
              <w:start w:w="120" w:type="dxa"/>
              <w:end w:w="120" w:type="dxa"/>
            </w:tcMar>
          </w:tcPr>
          <w:p>
            <w:pPr>
              <w:spacing w:before="0" w:after="40" w:line="240" w:lineRule="auto"/>
            </w:pPr>
            <w:r>
              <w:rPr>
                <w:rFonts w:ascii="Calibri" w:hAnsi="Calibri"/>
                <w:b w:val="0"/>
                <w:color w:val="1D2630"/>
                <w:sz w:val="15"/>
              </w:rPr>
              <w:t>30 minutes avec guide de questions</w:t>
            </w:r>
          </w:p>
        </w:tc>
        <w:tc>
          <w:tcPr>
            <w:tcW w:type="dxa" w:w="1800"/>
            <w:vAlign w:val="top"/>
            <w:tcMar>
              <w:top w:w="80" w:type="dxa"/>
              <w:bottom w:w="80" w:type="dxa"/>
              <w:start w:w="120" w:type="dxa"/>
              <w:end w:w="120" w:type="dxa"/>
            </w:tcMar>
          </w:tcPr>
          <w:p>
            <w:pPr>
              <w:spacing w:before="0" w:after="40" w:line="240" w:lineRule="auto"/>
            </w:pPr>
            <w:r>
              <w:rPr>
                <w:rFonts w:ascii="Calibri" w:hAnsi="Calibri"/>
                <w:b w:val="0"/>
                <w:color w:val="1D2630"/>
                <w:sz w:val="15"/>
              </w:rPr>
              <w:t>Calendrier et besoins qualifiés</w:t>
            </w:r>
          </w:p>
        </w:tc>
      </w:tr>
      <w:tr>
        <w:trPr>
          <w:cantSplit/>
        </w:trPr>
        <w:tc>
          <w:tcPr>
            <w:tcW w:type="dxa" w:w="792"/>
            <w:vAlign w:val="top"/>
            <w:tcMar>
              <w:top w:w="80" w:type="dxa"/>
              <w:bottom w:w="80" w:type="dxa"/>
              <w:start w:w="120" w:type="dxa"/>
              <w:end w:w="120" w:type="dxa"/>
            </w:tcMar>
          </w:tcPr>
          <w:p>
            <w:pPr>
              <w:spacing w:before="0" w:after="40" w:line="240" w:lineRule="auto"/>
            </w:pPr>
            <w:r>
              <w:rPr>
                <w:rFonts w:ascii="Calibri" w:hAnsi="Calibri"/>
                <w:b/>
                <w:color w:val="1D2630"/>
                <w:sz w:val="15"/>
              </w:rPr>
              <w:t>S5-S6</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5"/>
              </w:rPr>
              <w:t>Cartographier les projets et sites concernés</w:t>
            </w:r>
          </w:p>
        </w:tc>
        <w:tc>
          <w:tcPr>
            <w:tcW w:type="dxa" w:w="1152"/>
            <w:vAlign w:val="top"/>
            <w:tcMar>
              <w:top w:w="80" w:type="dxa"/>
              <w:bottom w:w="80" w:type="dxa"/>
              <w:start w:w="120" w:type="dxa"/>
              <w:end w:w="120" w:type="dxa"/>
            </w:tcMar>
          </w:tcPr>
          <w:p>
            <w:pPr>
              <w:spacing w:before="0" w:after="40" w:line="240" w:lineRule="auto"/>
            </w:pPr>
            <w:r>
              <w:rPr>
                <w:rFonts w:ascii="Calibri" w:hAnsi="Calibri"/>
                <w:b w:val="0"/>
                <w:color w:val="1D2630"/>
                <w:sz w:val="15"/>
              </w:rPr>
              <w:t>David/Jovan</w:t>
            </w:r>
          </w:p>
        </w:tc>
        <w:tc>
          <w:tcPr>
            <w:tcW w:type="dxa" w:w="2520"/>
            <w:vAlign w:val="top"/>
            <w:tcMar>
              <w:top w:w="80" w:type="dxa"/>
              <w:bottom w:w="80" w:type="dxa"/>
              <w:start w:w="120" w:type="dxa"/>
              <w:end w:w="120" w:type="dxa"/>
            </w:tcMar>
          </w:tcPr>
          <w:p>
            <w:pPr>
              <w:spacing w:before="0" w:after="40" w:line="240" w:lineRule="auto"/>
            </w:pPr>
            <w:r>
              <w:rPr>
                <w:rFonts w:ascii="Calibri" w:hAnsi="Calibri"/>
                <w:b w:val="0"/>
                <w:color w:val="1D2630"/>
                <w:sz w:val="15"/>
              </w:rPr>
              <w:t>WMS, EDI, data, cloud, Road et Contract Logistics</w:t>
            </w:r>
          </w:p>
        </w:tc>
        <w:tc>
          <w:tcPr>
            <w:tcW w:type="dxa" w:w="1800"/>
            <w:vAlign w:val="top"/>
            <w:tcMar>
              <w:top w:w="80" w:type="dxa"/>
              <w:bottom w:w="80" w:type="dxa"/>
              <w:start w:w="120" w:type="dxa"/>
              <w:end w:w="120" w:type="dxa"/>
            </w:tcMar>
          </w:tcPr>
          <w:p>
            <w:pPr>
              <w:spacing w:before="0" w:after="40" w:line="240" w:lineRule="auto"/>
            </w:pPr>
            <w:r>
              <w:rPr>
                <w:rFonts w:ascii="Calibri" w:hAnsi="Calibri"/>
                <w:b w:val="0"/>
                <w:color w:val="1D2630"/>
                <w:sz w:val="15"/>
              </w:rPr>
              <w:t>Carte des opportunités</w:t>
            </w:r>
          </w:p>
        </w:tc>
      </w:tr>
      <w:tr>
        <w:trPr>
          <w:cantSplit/>
        </w:trPr>
        <w:tc>
          <w:tcPr>
            <w:tcW w:type="dxa" w:w="792"/>
            <w:vAlign w:val="top"/>
            <w:tcMar>
              <w:top w:w="80" w:type="dxa"/>
              <w:bottom w:w="80" w:type="dxa"/>
              <w:start w:w="120" w:type="dxa"/>
              <w:end w:w="120" w:type="dxa"/>
            </w:tcMar>
          </w:tcPr>
          <w:p>
            <w:pPr>
              <w:spacing w:before="0" w:after="40" w:line="240" w:lineRule="auto"/>
            </w:pPr>
            <w:r>
              <w:rPr>
                <w:rFonts w:ascii="Calibri" w:hAnsi="Calibri"/>
                <w:b/>
                <w:color w:val="1D2630"/>
                <w:sz w:val="15"/>
              </w:rPr>
              <w:t>S6</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5"/>
              </w:rPr>
              <w:t>Identifier les prestataires en place</w:t>
            </w:r>
          </w:p>
        </w:tc>
        <w:tc>
          <w:tcPr>
            <w:tcW w:type="dxa" w:w="1152"/>
            <w:vAlign w:val="top"/>
            <w:tcMar>
              <w:top w:w="80" w:type="dxa"/>
              <w:bottom w:w="80" w:type="dxa"/>
              <w:start w:w="120" w:type="dxa"/>
              <w:end w:w="120" w:type="dxa"/>
            </w:tcMar>
          </w:tcPr>
          <w:p>
            <w:pPr>
              <w:spacing w:before="0" w:after="40" w:line="240" w:lineRule="auto"/>
            </w:pPr>
            <w:r>
              <w:rPr>
                <w:rFonts w:ascii="Calibri" w:hAnsi="Calibri"/>
                <w:b w:val="0"/>
                <w:color w:val="1D2630"/>
                <w:sz w:val="15"/>
              </w:rPr>
              <w:t>Jovan</w:t>
            </w:r>
          </w:p>
        </w:tc>
        <w:tc>
          <w:tcPr>
            <w:tcW w:type="dxa" w:w="2520"/>
            <w:vAlign w:val="top"/>
            <w:tcMar>
              <w:top w:w="80" w:type="dxa"/>
              <w:bottom w:w="80" w:type="dxa"/>
              <w:start w:w="120" w:type="dxa"/>
              <w:end w:w="120" w:type="dxa"/>
            </w:tcMar>
          </w:tcPr>
          <w:p>
            <w:pPr>
              <w:spacing w:before="0" w:after="40" w:line="240" w:lineRule="auto"/>
            </w:pPr>
            <w:r>
              <w:rPr>
                <w:rFonts w:ascii="Calibri" w:hAnsi="Calibri"/>
                <w:b w:val="0"/>
                <w:color w:val="1D2630"/>
                <w:sz w:val="15"/>
              </w:rPr>
              <w:t>Intégrateur, ESN, MSP, freelance, panel</w:t>
            </w:r>
          </w:p>
        </w:tc>
        <w:tc>
          <w:tcPr>
            <w:tcW w:type="dxa" w:w="1800"/>
            <w:vAlign w:val="top"/>
            <w:tcMar>
              <w:top w:w="80" w:type="dxa"/>
              <w:bottom w:w="80" w:type="dxa"/>
              <w:start w:w="120" w:type="dxa"/>
              <w:end w:w="120" w:type="dxa"/>
            </w:tcMar>
          </w:tcPr>
          <w:p>
            <w:pPr>
              <w:spacing w:before="0" w:after="40" w:line="240" w:lineRule="auto"/>
            </w:pPr>
            <w:r>
              <w:rPr>
                <w:rFonts w:ascii="Calibri" w:hAnsi="Calibri"/>
                <w:b w:val="0"/>
                <w:color w:val="1D2630"/>
                <w:sz w:val="15"/>
              </w:rPr>
              <w:t>Concurrence documentée</w:t>
            </w:r>
          </w:p>
        </w:tc>
      </w:tr>
      <w:tr>
        <w:trPr>
          <w:cantSplit/>
        </w:trPr>
        <w:tc>
          <w:tcPr>
            <w:tcW w:type="dxa" w:w="792"/>
            <w:vAlign w:val="top"/>
            <w:tcMar>
              <w:top w:w="80" w:type="dxa"/>
              <w:bottom w:w="80" w:type="dxa"/>
              <w:start w:w="120" w:type="dxa"/>
              <w:end w:w="120" w:type="dxa"/>
            </w:tcMar>
          </w:tcPr>
          <w:p>
            <w:pPr>
              <w:spacing w:before="0" w:after="40" w:line="240" w:lineRule="auto"/>
            </w:pPr>
            <w:r>
              <w:rPr>
                <w:rFonts w:ascii="Calibri" w:hAnsi="Calibri"/>
                <w:b/>
                <w:color w:val="1D2630"/>
                <w:sz w:val="15"/>
              </w:rPr>
              <w:t>S6-S7</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5"/>
              </w:rPr>
              <w:t>Adapter le vivier aux besoins réels</w:t>
            </w:r>
          </w:p>
        </w:tc>
        <w:tc>
          <w:tcPr>
            <w:tcW w:type="dxa" w:w="1152"/>
            <w:vAlign w:val="top"/>
            <w:tcMar>
              <w:top w:w="80" w:type="dxa"/>
              <w:bottom w:w="80" w:type="dxa"/>
              <w:start w:w="120" w:type="dxa"/>
              <w:end w:w="120" w:type="dxa"/>
            </w:tcMar>
          </w:tcPr>
          <w:p>
            <w:pPr>
              <w:spacing w:before="0" w:after="40" w:line="240" w:lineRule="auto"/>
            </w:pPr>
            <w:r>
              <w:rPr>
                <w:rFonts w:ascii="Calibri" w:hAnsi="Calibri"/>
                <w:b w:val="0"/>
                <w:color w:val="1D2630"/>
                <w:sz w:val="15"/>
              </w:rPr>
              <w:t>Marie</w:t>
            </w:r>
          </w:p>
        </w:tc>
        <w:tc>
          <w:tcPr>
            <w:tcW w:type="dxa" w:w="2520"/>
            <w:vAlign w:val="top"/>
            <w:tcMar>
              <w:top w:w="80" w:type="dxa"/>
              <w:bottom w:w="80" w:type="dxa"/>
              <w:start w:w="120" w:type="dxa"/>
              <w:end w:w="120" w:type="dxa"/>
            </w:tcMar>
          </w:tcPr>
          <w:p>
            <w:pPr>
              <w:spacing w:before="0" w:after="40" w:line="240" w:lineRule="auto"/>
            </w:pPr>
            <w:r>
              <w:rPr>
                <w:rFonts w:ascii="Calibri" w:hAnsi="Calibri"/>
                <w:b w:val="0"/>
                <w:color w:val="1D2630"/>
                <w:sz w:val="15"/>
              </w:rPr>
              <w:t>Technologies, séniorité, localisation et TJM</w:t>
            </w:r>
          </w:p>
        </w:tc>
        <w:tc>
          <w:tcPr>
            <w:tcW w:type="dxa" w:w="1800"/>
            <w:vAlign w:val="top"/>
            <w:tcMar>
              <w:top w:w="80" w:type="dxa"/>
              <w:bottom w:w="80" w:type="dxa"/>
              <w:start w:w="120" w:type="dxa"/>
              <w:end w:w="120" w:type="dxa"/>
            </w:tcMar>
          </w:tcPr>
          <w:p>
            <w:pPr>
              <w:spacing w:before="0" w:after="40" w:line="240" w:lineRule="auto"/>
            </w:pPr>
            <w:r>
              <w:rPr>
                <w:rFonts w:ascii="Calibri" w:hAnsi="Calibri"/>
                <w:b w:val="0"/>
                <w:color w:val="1D2630"/>
                <w:sz w:val="15"/>
              </w:rPr>
              <w:t>5 profils présentables</w:t>
            </w:r>
          </w:p>
        </w:tc>
      </w:tr>
      <w:tr>
        <w:trPr>
          <w:cantSplit/>
        </w:trPr>
        <w:tc>
          <w:tcPr>
            <w:tcW w:type="dxa" w:w="792"/>
            <w:vAlign w:val="top"/>
            <w:tcMar>
              <w:top w:w="80" w:type="dxa"/>
              <w:bottom w:w="80" w:type="dxa"/>
              <w:start w:w="120" w:type="dxa"/>
              <w:end w:w="120" w:type="dxa"/>
            </w:tcMar>
          </w:tcPr>
          <w:p>
            <w:pPr>
              <w:spacing w:before="0" w:after="40" w:line="240" w:lineRule="auto"/>
            </w:pPr>
            <w:r>
              <w:rPr>
                <w:rFonts w:ascii="Calibri" w:hAnsi="Calibri"/>
                <w:b/>
                <w:color w:val="1D2630"/>
                <w:sz w:val="15"/>
              </w:rPr>
              <w:t>S7</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5"/>
              </w:rPr>
              <w:t>Organiser l'échange Achats</w:t>
            </w:r>
          </w:p>
        </w:tc>
        <w:tc>
          <w:tcPr>
            <w:tcW w:type="dxa" w:w="1152"/>
            <w:vAlign w:val="top"/>
            <w:tcMar>
              <w:top w:w="80" w:type="dxa"/>
              <w:bottom w:w="80" w:type="dxa"/>
              <w:start w:w="120" w:type="dxa"/>
              <w:end w:w="120" w:type="dxa"/>
            </w:tcMar>
          </w:tcPr>
          <w:p>
            <w:pPr>
              <w:spacing w:before="0" w:after="40" w:line="240" w:lineRule="auto"/>
            </w:pPr>
            <w:r>
              <w:rPr>
                <w:rFonts w:ascii="Calibri" w:hAnsi="Calibri"/>
                <w:b w:val="0"/>
                <w:color w:val="1D2630"/>
                <w:sz w:val="15"/>
              </w:rPr>
              <w:t>David/Pierre</w:t>
            </w:r>
          </w:p>
        </w:tc>
        <w:tc>
          <w:tcPr>
            <w:tcW w:type="dxa" w:w="2520"/>
            <w:vAlign w:val="top"/>
            <w:tcMar>
              <w:top w:w="80" w:type="dxa"/>
              <w:bottom w:w="80" w:type="dxa"/>
              <w:start w:w="120" w:type="dxa"/>
              <w:end w:w="120" w:type="dxa"/>
            </w:tcMar>
          </w:tcPr>
          <w:p>
            <w:pPr>
              <w:spacing w:before="0" w:after="40" w:line="240" w:lineRule="auto"/>
            </w:pPr>
            <w:r>
              <w:rPr>
                <w:rFonts w:ascii="Calibri" w:hAnsi="Calibri"/>
                <w:b w:val="0"/>
                <w:color w:val="1D2630"/>
                <w:sz w:val="15"/>
              </w:rPr>
              <w:t>Frédéric Dauny, panel, contrat, conformité, grille</w:t>
            </w:r>
          </w:p>
        </w:tc>
        <w:tc>
          <w:tcPr>
            <w:tcW w:type="dxa" w:w="1800"/>
            <w:vAlign w:val="top"/>
            <w:tcMar>
              <w:top w:w="80" w:type="dxa"/>
              <w:bottom w:w="80" w:type="dxa"/>
              <w:start w:w="120" w:type="dxa"/>
              <w:end w:w="120" w:type="dxa"/>
            </w:tcMar>
          </w:tcPr>
          <w:p>
            <w:pPr>
              <w:spacing w:before="0" w:after="40" w:line="240" w:lineRule="auto"/>
            </w:pPr>
            <w:r>
              <w:rPr>
                <w:rFonts w:ascii="Calibri" w:hAnsi="Calibri"/>
                <w:b w:val="0"/>
                <w:color w:val="1D2630"/>
                <w:sz w:val="15"/>
              </w:rPr>
              <w:t>Process achats clarifié</w:t>
            </w:r>
          </w:p>
        </w:tc>
      </w:tr>
      <w:tr>
        <w:trPr>
          <w:cantSplit/>
        </w:trPr>
        <w:tc>
          <w:tcPr>
            <w:tcW w:type="dxa" w:w="792"/>
            <w:vAlign w:val="top"/>
            <w:tcMar>
              <w:top w:w="80" w:type="dxa"/>
              <w:bottom w:w="80" w:type="dxa"/>
              <w:start w:w="120" w:type="dxa"/>
              <w:end w:w="120" w:type="dxa"/>
            </w:tcMar>
          </w:tcPr>
          <w:p>
            <w:pPr>
              <w:spacing w:before="0" w:after="40" w:line="240" w:lineRule="auto"/>
            </w:pPr>
            <w:r>
              <w:rPr>
                <w:rFonts w:ascii="Calibri" w:hAnsi="Calibri"/>
                <w:b/>
                <w:color w:val="1D2630"/>
                <w:sz w:val="15"/>
              </w:rPr>
              <w:t>S8</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5"/>
              </w:rPr>
              <w:t>Préparer dossier fournisseur</w:t>
            </w:r>
          </w:p>
        </w:tc>
        <w:tc>
          <w:tcPr>
            <w:tcW w:type="dxa" w:w="1152"/>
            <w:vAlign w:val="top"/>
            <w:tcMar>
              <w:top w:w="80" w:type="dxa"/>
              <w:bottom w:w="80" w:type="dxa"/>
              <w:start w:w="120" w:type="dxa"/>
              <w:end w:w="120" w:type="dxa"/>
            </w:tcMar>
          </w:tcPr>
          <w:p>
            <w:pPr>
              <w:spacing w:before="0" w:after="40" w:line="240" w:lineRule="auto"/>
            </w:pPr>
            <w:r>
              <w:rPr>
                <w:rFonts w:ascii="Calibri" w:hAnsi="Calibri"/>
                <w:b w:val="0"/>
                <w:color w:val="1D2630"/>
                <w:sz w:val="15"/>
              </w:rPr>
              <w:t>Direction/Admin</w:t>
            </w:r>
          </w:p>
        </w:tc>
        <w:tc>
          <w:tcPr>
            <w:tcW w:type="dxa" w:w="2520"/>
            <w:vAlign w:val="top"/>
            <w:tcMar>
              <w:top w:w="80" w:type="dxa"/>
              <w:bottom w:w="80" w:type="dxa"/>
              <w:start w:w="120" w:type="dxa"/>
              <w:end w:w="120" w:type="dxa"/>
            </w:tcMar>
          </w:tcPr>
          <w:p>
            <w:pPr>
              <w:spacing w:before="0" w:after="40" w:line="240" w:lineRule="auto"/>
            </w:pPr>
            <w:r>
              <w:rPr>
                <w:rFonts w:ascii="Calibri" w:hAnsi="Calibri"/>
                <w:b w:val="0"/>
                <w:color w:val="1D2630"/>
                <w:sz w:val="15"/>
              </w:rPr>
              <w:t>Kbis, assurances, RSE, sécurité, références, conditions</w:t>
            </w:r>
          </w:p>
        </w:tc>
        <w:tc>
          <w:tcPr>
            <w:tcW w:type="dxa" w:w="1800"/>
            <w:vAlign w:val="top"/>
            <w:tcMar>
              <w:top w:w="80" w:type="dxa"/>
              <w:bottom w:w="80" w:type="dxa"/>
              <w:start w:w="120" w:type="dxa"/>
              <w:end w:w="120" w:type="dxa"/>
            </w:tcMar>
          </w:tcPr>
          <w:p>
            <w:pPr>
              <w:spacing w:before="0" w:after="40" w:line="240" w:lineRule="auto"/>
            </w:pPr>
            <w:r>
              <w:rPr>
                <w:rFonts w:ascii="Calibri" w:hAnsi="Calibri"/>
                <w:b w:val="0"/>
                <w:color w:val="1D2630"/>
                <w:sz w:val="15"/>
              </w:rPr>
              <w:t>Dossier prêt</w:t>
            </w:r>
          </w:p>
        </w:tc>
      </w:tr>
    </w:tbl>
    <w:p>
      <w:pPr>
        <w:spacing w:after="0"/>
      </w:pPr>
    </w:p>
    <w:p>
      <w:pPr>
        <w:pStyle w:val="Heading2"/>
      </w:pPr>
      <w:r>
        <w:t>9.4 Jours 61 à 90 - Convertir</w:t>
      </w:r>
    </w:p>
    <w:tbl>
      <w:tblPr>
        <w:tblStyle w:val="TableGrid"/>
        <w:tblW w:type="dxa" w:w="9360"/>
        <w:jc w:val="left"/>
        <w:tblLayout w:type="fixed"/>
        <w:tblLook w:firstColumn="1" w:firstRow="1" w:lastColumn="0" w:lastRow="0" w:noHBand="0" w:noVBand="1" w:val="04A0"/>
        <w:tblInd w:type="dxa" w:w="120"/>
      </w:tblPr>
      <w:tblGrid>
        <w:gridCol w:w="792"/>
        <w:gridCol w:w="3096"/>
        <w:gridCol w:w="1152"/>
        <w:gridCol w:w="2520"/>
        <w:gridCol w:w="1800"/>
      </w:tblGrid>
      <w:tr>
        <w:trPr>
          <w:tblHeader w:val="true"/>
          <w:cantSplit/>
        </w:trPr>
        <w:tc>
          <w:tcPr>
            <w:tcW w:type="dxa" w:w="792"/>
            <w:shd w:fill="F2F4F7"/>
            <w:vAlign w:val="center"/>
            <w:tcMar>
              <w:top w:w="80" w:type="dxa"/>
              <w:bottom w:w="80" w:type="dxa"/>
              <w:start w:w="120" w:type="dxa"/>
              <w:end w:w="120" w:type="dxa"/>
            </w:tcMar>
          </w:tcPr>
          <w:p>
            <w:pPr>
              <w:spacing w:before="20" w:after="20"/>
            </w:pPr>
            <w:r>
              <w:rPr>
                <w:rFonts w:ascii="Calibri" w:hAnsi="Calibri"/>
                <w:b/>
                <w:color w:val="0B2545"/>
                <w:sz w:val="15"/>
              </w:rPr>
              <w:t>Période</w:t>
            </w:r>
          </w:p>
        </w:tc>
        <w:tc>
          <w:tcPr>
            <w:tcW w:type="dxa" w:w="3096"/>
            <w:shd w:fill="F2F4F7"/>
            <w:vAlign w:val="center"/>
            <w:tcMar>
              <w:top w:w="80" w:type="dxa"/>
              <w:bottom w:w="80" w:type="dxa"/>
              <w:start w:w="120" w:type="dxa"/>
              <w:end w:w="120" w:type="dxa"/>
            </w:tcMar>
          </w:tcPr>
          <w:p>
            <w:pPr>
              <w:spacing w:before="20" w:after="20"/>
            </w:pPr>
            <w:r>
              <w:rPr>
                <w:rFonts w:ascii="Calibri" w:hAnsi="Calibri"/>
                <w:b/>
                <w:color w:val="0B2545"/>
                <w:sz w:val="15"/>
              </w:rPr>
              <w:t>Action</w:t>
            </w:r>
          </w:p>
        </w:tc>
        <w:tc>
          <w:tcPr>
            <w:tcW w:type="dxa" w:w="1152"/>
            <w:shd w:fill="F2F4F7"/>
            <w:vAlign w:val="center"/>
            <w:tcMar>
              <w:top w:w="80" w:type="dxa"/>
              <w:bottom w:w="80" w:type="dxa"/>
              <w:start w:w="120" w:type="dxa"/>
              <w:end w:w="120" w:type="dxa"/>
            </w:tcMar>
          </w:tcPr>
          <w:p>
            <w:pPr>
              <w:spacing w:before="20" w:after="20"/>
            </w:pPr>
            <w:r>
              <w:rPr>
                <w:rFonts w:ascii="Calibri" w:hAnsi="Calibri"/>
                <w:b/>
                <w:color w:val="0B2545"/>
                <w:sz w:val="15"/>
              </w:rPr>
              <w:t>Owner</w:t>
            </w:r>
          </w:p>
        </w:tc>
        <w:tc>
          <w:tcPr>
            <w:tcW w:type="dxa" w:w="2520"/>
            <w:shd w:fill="F2F4F7"/>
            <w:vAlign w:val="center"/>
            <w:tcMar>
              <w:top w:w="80" w:type="dxa"/>
              <w:bottom w:w="80" w:type="dxa"/>
              <w:start w:w="120" w:type="dxa"/>
              <w:end w:w="120" w:type="dxa"/>
            </w:tcMar>
          </w:tcPr>
          <w:p>
            <w:pPr>
              <w:spacing w:before="20" w:after="20"/>
            </w:pPr>
            <w:r>
              <w:rPr>
                <w:rFonts w:ascii="Calibri" w:hAnsi="Calibri"/>
                <w:b/>
                <w:color w:val="0B2545"/>
                <w:sz w:val="15"/>
              </w:rPr>
              <w:t>Modalités</w:t>
            </w:r>
          </w:p>
        </w:tc>
        <w:tc>
          <w:tcPr>
            <w:tcW w:type="dxa" w:w="1800"/>
            <w:shd w:fill="F2F4F7"/>
            <w:vAlign w:val="center"/>
            <w:tcMar>
              <w:top w:w="80" w:type="dxa"/>
              <w:bottom w:w="80" w:type="dxa"/>
              <w:start w:w="120" w:type="dxa"/>
              <w:end w:w="120" w:type="dxa"/>
            </w:tcMar>
          </w:tcPr>
          <w:p>
            <w:pPr>
              <w:spacing w:before="20" w:after="20"/>
            </w:pPr>
            <w:r>
              <w:rPr>
                <w:rFonts w:ascii="Calibri" w:hAnsi="Calibri"/>
                <w:b/>
                <w:color w:val="0B2545"/>
                <w:sz w:val="15"/>
              </w:rPr>
              <w:t>Livrable/KPI</w:t>
            </w:r>
          </w:p>
        </w:tc>
      </w:tr>
      <w:tr>
        <w:trPr>
          <w:cantSplit/>
        </w:trPr>
        <w:tc>
          <w:tcPr>
            <w:tcW w:type="dxa" w:w="792"/>
            <w:vAlign w:val="top"/>
            <w:tcMar>
              <w:top w:w="80" w:type="dxa"/>
              <w:bottom w:w="80" w:type="dxa"/>
              <w:start w:w="120" w:type="dxa"/>
              <w:end w:w="120" w:type="dxa"/>
            </w:tcMar>
          </w:tcPr>
          <w:p>
            <w:pPr>
              <w:spacing w:before="0" w:after="40" w:line="240" w:lineRule="auto"/>
            </w:pPr>
            <w:r>
              <w:rPr>
                <w:rFonts w:ascii="Calibri" w:hAnsi="Calibri"/>
                <w:b/>
                <w:color w:val="1D2630"/>
                <w:sz w:val="15"/>
              </w:rPr>
              <w:t>S9</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5"/>
              </w:rPr>
              <w:t>Présenter 3 à 5 profils ciblés</w:t>
            </w:r>
          </w:p>
        </w:tc>
        <w:tc>
          <w:tcPr>
            <w:tcW w:type="dxa" w:w="1152"/>
            <w:vAlign w:val="top"/>
            <w:tcMar>
              <w:top w:w="80" w:type="dxa"/>
              <w:bottom w:w="80" w:type="dxa"/>
              <w:start w:w="120" w:type="dxa"/>
              <w:end w:w="120" w:type="dxa"/>
            </w:tcMar>
          </w:tcPr>
          <w:p>
            <w:pPr>
              <w:spacing w:before="0" w:after="40" w:line="240" w:lineRule="auto"/>
            </w:pPr>
            <w:r>
              <w:rPr>
                <w:rFonts w:ascii="Calibri" w:hAnsi="Calibri"/>
                <w:b w:val="0"/>
                <w:color w:val="1D2630"/>
                <w:sz w:val="15"/>
              </w:rPr>
              <w:t>David/Marie</w:t>
            </w:r>
          </w:p>
        </w:tc>
        <w:tc>
          <w:tcPr>
            <w:tcW w:type="dxa" w:w="2520"/>
            <w:vAlign w:val="top"/>
            <w:tcMar>
              <w:top w:w="80" w:type="dxa"/>
              <w:bottom w:w="80" w:type="dxa"/>
              <w:start w:w="120" w:type="dxa"/>
              <w:end w:w="120" w:type="dxa"/>
            </w:tcMar>
          </w:tcPr>
          <w:p>
            <w:pPr>
              <w:spacing w:before="0" w:after="40" w:line="240" w:lineRule="auto"/>
            </w:pPr>
            <w:r>
              <w:rPr>
                <w:rFonts w:ascii="Calibri" w:hAnsi="Calibri"/>
                <w:b w:val="0"/>
                <w:color w:val="1D2630"/>
                <w:sz w:val="15"/>
              </w:rPr>
              <w:t>Argumentaire par risque couvert et impact</w:t>
            </w:r>
          </w:p>
        </w:tc>
        <w:tc>
          <w:tcPr>
            <w:tcW w:type="dxa" w:w="1800"/>
            <w:vAlign w:val="top"/>
            <w:tcMar>
              <w:top w:w="80" w:type="dxa"/>
              <w:bottom w:w="80" w:type="dxa"/>
              <w:start w:w="120" w:type="dxa"/>
              <w:end w:w="120" w:type="dxa"/>
            </w:tcMar>
          </w:tcPr>
          <w:p>
            <w:pPr>
              <w:spacing w:before="0" w:after="40" w:line="240" w:lineRule="auto"/>
            </w:pPr>
            <w:r>
              <w:rPr>
                <w:rFonts w:ascii="Calibri" w:hAnsi="Calibri"/>
                <w:b w:val="0"/>
                <w:color w:val="1D2630"/>
                <w:sz w:val="15"/>
              </w:rPr>
              <w:t>Short-list transmise</w:t>
            </w:r>
          </w:p>
        </w:tc>
      </w:tr>
      <w:tr>
        <w:trPr>
          <w:cantSplit/>
        </w:trPr>
        <w:tc>
          <w:tcPr>
            <w:tcW w:type="dxa" w:w="792"/>
            <w:vAlign w:val="top"/>
            <w:tcMar>
              <w:top w:w="80" w:type="dxa"/>
              <w:bottom w:w="80" w:type="dxa"/>
              <w:start w:w="120" w:type="dxa"/>
              <w:end w:w="120" w:type="dxa"/>
            </w:tcMar>
          </w:tcPr>
          <w:p>
            <w:pPr>
              <w:spacing w:before="0" w:after="40" w:line="240" w:lineRule="auto"/>
            </w:pPr>
            <w:r>
              <w:rPr>
                <w:rFonts w:ascii="Calibri" w:hAnsi="Calibri"/>
                <w:b/>
                <w:color w:val="1D2630"/>
                <w:sz w:val="15"/>
              </w:rPr>
              <w:t>S9-S10</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5"/>
              </w:rPr>
              <w:t>Proposer une première mission pilote</w:t>
            </w:r>
          </w:p>
        </w:tc>
        <w:tc>
          <w:tcPr>
            <w:tcW w:type="dxa" w:w="1152"/>
            <w:vAlign w:val="top"/>
            <w:tcMar>
              <w:top w:w="80" w:type="dxa"/>
              <w:bottom w:w="80" w:type="dxa"/>
              <w:start w:w="120" w:type="dxa"/>
              <w:end w:w="120" w:type="dxa"/>
            </w:tcMar>
          </w:tcPr>
          <w:p>
            <w:pPr>
              <w:spacing w:before="0" w:after="40" w:line="240" w:lineRule="auto"/>
            </w:pPr>
            <w:r>
              <w:rPr>
                <w:rFonts w:ascii="Calibri" w:hAnsi="Calibri"/>
                <w:b w:val="0"/>
                <w:color w:val="1D2630"/>
                <w:sz w:val="15"/>
              </w:rPr>
              <w:t>David</w:t>
            </w:r>
          </w:p>
        </w:tc>
        <w:tc>
          <w:tcPr>
            <w:tcW w:type="dxa" w:w="2520"/>
            <w:vAlign w:val="top"/>
            <w:tcMar>
              <w:top w:w="80" w:type="dxa"/>
              <w:bottom w:w="80" w:type="dxa"/>
              <w:start w:w="120" w:type="dxa"/>
              <w:end w:w="120" w:type="dxa"/>
            </w:tcMar>
          </w:tcPr>
          <w:p>
            <w:pPr>
              <w:spacing w:before="0" w:after="40" w:line="240" w:lineRule="auto"/>
            </w:pPr>
            <w:r>
              <w:rPr>
                <w:rFonts w:ascii="Calibri" w:hAnsi="Calibri"/>
                <w:b w:val="0"/>
                <w:color w:val="1D2630"/>
                <w:sz w:val="15"/>
              </w:rPr>
              <w:t>WMS, EDI, tests ou PMO avec périmètre mesurable</w:t>
            </w:r>
          </w:p>
        </w:tc>
        <w:tc>
          <w:tcPr>
            <w:tcW w:type="dxa" w:w="1800"/>
            <w:vAlign w:val="top"/>
            <w:tcMar>
              <w:top w:w="80" w:type="dxa"/>
              <w:bottom w:w="80" w:type="dxa"/>
              <w:start w:w="120" w:type="dxa"/>
              <w:end w:w="120" w:type="dxa"/>
            </w:tcMar>
          </w:tcPr>
          <w:p>
            <w:pPr>
              <w:spacing w:before="0" w:after="40" w:line="240" w:lineRule="auto"/>
            </w:pPr>
            <w:r>
              <w:rPr>
                <w:rFonts w:ascii="Calibri" w:hAnsi="Calibri"/>
                <w:b w:val="0"/>
                <w:color w:val="1D2630"/>
                <w:sz w:val="15"/>
              </w:rPr>
              <w:t>Proposition commerciale</w:t>
            </w:r>
          </w:p>
        </w:tc>
      </w:tr>
      <w:tr>
        <w:trPr>
          <w:cantSplit/>
        </w:trPr>
        <w:tc>
          <w:tcPr>
            <w:tcW w:type="dxa" w:w="792"/>
            <w:vAlign w:val="top"/>
            <w:tcMar>
              <w:top w:w="80" w:type="dxa"/>
              <w:bottom w:w="80" w:type="dxa"/>
              <w:start w:w="120" w:type="dxa"/>
              <w:end w:w="120" w:type="dxa"/>
            </w:tcMar>
          </w:tcPr>
          <w:p>
            <w:pPr>
              <w:spacing w:before="0" w:after="40" w:line="240" w:lineRule="auto"/>
            </w:pPr>
            <w:r>
              <w:rPr>
                <w:rFonts w:ascii="Calibri" w:hAnsi="Calibri"/>
                <w:b/>
                <w:color w:val="1D2630"/>
                <w:sz w:val="15"/>
              </w:rPr>
              <w:t>S10</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5"/>
              </w:rPr>
              <w:t>Négocier le TJM et les conditions</w:t>
            </w:r>
          </w:p>
        </w:tc>
        <w:tc>
          <w:tcPr>
            <w:tcW w:type="dxa" w:w="1152"/>
            <w:vAlign w:val="top"/>
            <w:tcMar>
              <w:top w:w="80" w:type="dxa"/>
              <w:bottom w:w="80" w:type="dxa"/>
              <w:start w:w="120" w:type="dxa"/>
              <w:end w:w="120" w:type="dxa"/>
            </w:tcMar>
          </w:tcPr>
          <w:p>
            <w:pPr>
              <w:spacing w:before="0" w:after="40" w:line="240" w:lineRule="auto"/>
            </w:pPr>
            <w:r>
              <w:rPr>
                <w:rFonts w:ascii="Calibri" w:hAnsi="Calibri"/>
                <w:b w:val="0"/>
                <w:color w:val="1D2630"/>
                <w:sz w:val="15"/>
              </w:rPr>
              <w:t>David/Direction</w:t>
            </w:r>
          </w:p>
        </w:tc>
        <w:tc>
          <w:tcPr>
            <w:tcW w:type="dxa" w:w="2520"/>
            <w:vAlign w:val="top"/>
            <w:tcMar>
              <w:top w:w="80" w:type="dxa"/>
              <w:bottom w:w="80" w:type="dxa"/>
              <w:start w:w="120" w:type="dxa"/>
              <w:end w:w="120" w:type="dxa"/>
            </w:tcMar>
          </w:tcPr>
          <w:p>
            <w:pPr>
              <w:spacing w:before="0" w:after="40" w:line="240" w:lineRule="auto"/>
            </w:pPr>
            <w:r>
              <w:rPr>
                <w:rFonts w:ascii="Calibri" w:hAnsi="Calibri"/>
                <w:b w:val="0"/>
                <w:color w:val="1D2630"/>
                <w:sz w:val="15"/>
              </w:rPr>
              <w:t>Justifier valeur, séniorité et disponibilité</w:t>
            </w:r>
          </w:p>
        </w:tc>
        <w:tc>
          <w:tcPr>
            <w:tcW w:type="dxa" w:w="1800"/>
            <w:vAlign w:val="top"/>
            <w:tcMar>
              <w:top w:w="80" w:type="dxa"/>
              <w:bottom w:w="80" w:type="dxa"/>
              <w:start w:w="120" w:type="dxa"/>
              <w:end w:w="120" w:type="dxa"/>
            </w:tcMar>
          </w:tcPr>
          <w:p>
            <w:pPr>
              <w:spacing w:before="0" w:after="40" w:line="240" w:lineRule="auto"/>
            </w:pPr>
            <w:r>
              <w:rPr>
                <w:rFonts w:ascii="Calibri" w:hAnsi="Calibri"/>
                <w:b w:val="0"/>
                <w:color w:val="1D2630"/>
                <w:sz w:val="15"/>
              </w:rPr>
              <w:t>Accord économique</w:t>
            </w:r>
          </w:p>
        </w:tc>
      </w:tr>
      <w:tr>
        <w:trPr>
          <w:cantSplit/>
        </w:trPr>
        <w:tc>
          <w:tcPr>
            <w:tcW w:type="dxa" w:w="792"/>
            <w:vAlign w:val="top"/>
            <w:tcMar>
              <w:top w:w="80" w:type="dxa"/>
              <w:bottom w:w="80" w:type="dxa"/>
              <w:start w:w="120" w:type="dxa"/>
              <w:end w:w="120" w:type="dxa"/>
            </w:tcMar>
          </w:tcPr>
          <w:p>
            <w:pPr>
              <w:spacing w:before="0" w:after="40" w:line="240" w:lineRule="auto"/>
            </w:pPr>
            <w:r>
              <w:rPr>
                <w:rFonts w:ascii="Calibri" w:hAnsi="Calibri"/>
                <w:b/>
                <w:color w:val="1D2630"/>
                <w:sz w:val="15"/>
              </w:rPr>
              <w:t>S10-S11</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5"/>
              </w:rPr>
              <w:t>Finaliser le référencement</w:t>
            </w:r>
          </w:p>
        </w:tc>
        <w:tc>
          <w:tcPr>
            <w:tcW w:type="dxa" w:w="1152"/>
            <w:vAlign w:val="top"/>
            <w:tcMar>
              <w:top w:w="80" w:type="dxa"/>
              <w:bottom w:w="80" w:type="dxa"/>
              <w:start w:w="120" w:type="dxa"/>
              <w:end w:w="120" w:type="dxa"/>
            </w:tcMar>
          </w:tcPr>
          <w:p>
            <w:pPr>
              <w:spacing w:before="0" w:after="40" w:line="240" w:lineRule="auto"/>
            </w:pPr>
            <w:r>
              <w:rPr>
                <w:rFonts w:ascii="Calibri" w:hAnsi="Calibri"/>
                <w:b w:val="0"/>
                <w:color w:val="1D2630"/>
                <w:sz w:val="15"/>
              </w:rPr>
              <w:t>Admin/Achats</w:t>
            </w:r>
          </w:p>
        </w:tc>
        <w:tc>
          <w:tcPr>
            <w:tcW w:type="dxa" w:w="2520"/>
            <w:vAlign w:val="top"/>
            <w:tcMar>
              <w:top w:w="80" w:type="dxa"/>
              <w:bottom w:w="80" w:type="dxa"/>
              <w:start w:w="120" w:type="dxa"/>
              <w:end w:w="120" w:type="dxa"/>
            </w:tcMar>
          </w:tcPr>
          <w:p>
            <w:pPr>
              <w:spacing w:before="0" w:after="40" w:line="240" w:lineRule="auto"/>
            </w:pPr>
            <w:r>
              <w:rPr>
                <w:rFonts w:ascii="Calibri" w:hAnsi="Calibri"/>
                <w:b w:val="0"/>
                <w:color w:val="1D2630"/>
                <w:sz w:val="15"/>
              </w:rPr>
              <w:t>Portail Vendor Management et pièces contractuelles</w:t>
            </w:r>
          </w:p>
        </w:tc>
        <w:tc>
          <w:tcPr>
            <w:tcW w:type="dxa" w:w="1800"/>
            <w:vAlign w:val="top"/>
            <w:tcMar>
              <w:top w:w="80" w:type="dxa"/>
              <w:bottom w:w="80" w:type="dxa"/>
              <w:start w:w="120" w:type="dxa"/>
              <w:end w:w="120" w:type="dxa"/>
            </w:tcMar>
          </w:tcPr>
          <w:p>
            <w:pPr>
              <w:spacing w:before="0" w:after="40" w:line="240" w:lineRule="auto"/>
            </w:pPr>
            <w:r>
              <w:rPr>
                <w:rFonts w:ascii="Calibri" w:hAnsi="Calibri"/>
                <w:b w:val="0"/>
                <w:color w:val="1D2630"/>
                <w:sz w:val="15"/>
              </w:rPr>
              <w:t>Fournisseur actif</w:t>
            </w:r>
          </w:p>
        </w:tc>
      </w:tr>
      <w:tr>
        <w:trPr>
          <w:cantSplit/>
        </w:trPr>
        <w:tc>
          <w:tcPr>
            <w:tcW w:type="dxa" w:w="792"/>
            <w:vAlign w:val="top"/>
            <w:tcMar>
              <w:top w:w="80" w:type="dxa"/>
              <w:bottom w:w="80" w:type="dxa"/>
              <w:start w:w="120" w:type="dxa"/>
              <w:end w:w="120" w:type="dxa"/>
            </w:tcMar>
          </w:tcPr>
          <w:p>
            <w:pPr>
              <w:spacing w:before="0" w:after="40" w:line="240" w:lineRule="auto"/>
            </w:pPr>
            <w:r>
              <w:rPr>
                <w:rFonts w:ascii="Calibri" w:hAnsi="Calibri"/>
                <w:b/>
                <w:color w:val="1D2630"/>
                <w:sz w:val="15"/>
              </w:rPr>
              <w:t>S11-S12</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5"/>
              </w:rPr>
              <w:t>Préparer l'onboarding consultant</w:t>
            </w:r>
          </w:p>
        </w:tc>
        <w:tc>
          <w:tcPr>
            <w:tcW w:type="dxa" w:w="1152"/>
            <w:vAlign w:val="top"/>
            <w:tcMar>
              <w:top w:w="80" w:type="dxa"/>
              <w:bottom w:w="80" w:type="dxa"/>
              <w:start w:w="120" w:type="dxa"/>
              <w:end w:w="120" w:type="dxa"/>
            </w:tcMar>
          </w:tcPr>
          <w:p>
            <w:pPr>
              <w:spacing w:before="0" w:after="40" w:line="240" w:lineRule="auto"/>
            </w:pPr>
            <w:r>
              <w:rPr>
                <w:rFonts w:ascii="Calibri" w:hAnsi="Calibri"/>
                <w:b w:val="0"/>
                <w:color w:val="1D2630"/>
                <w:sz w:val="15"/>
              </w:rPr>
              <w:t>Delivery</w:t>
            </w:r>
          </w:p>
        </w:tc>
        <w:tc>
          <w:tcPr>
            <w:tcW w:type="dxa" w:w="2520"/>
            <w:vAlign w:val="top"/>
            <w:tcMar>
              <w:top w:w="80" w:type="dxa"/>
              <w:bottom w:w="80" w:type="dxa"/>
              <w:start w:w="120" w:type="dxa"/>
              <w:end w:w="120" w:type="dxa"/>
            </w:tcMar>
          </w:tcPr>
          <w:p>
            <w:pPr>
              <w:spacing w:before="0" w:after="40" w:line="240" w:lineRule="auto"/>
            </w:pPr>
            <w:r>
              <w:rPr>
                <w:rFonts w:ascii="Calibri" w:hAnsi="Calibri"/>
                <w:b w:val="0"/>
                <w:color w:val="1D2630"/>
                <w:sz w:val="15"/>
              </w:rPr>
              <w:t>Kick-off, objectifs, KPI, escalade, CRA</w:t>
            </w:r>
          </w:p>
        </w:tc>
        <w:tc>
          <w:tcPr>
            <w:tcW w:type="dxa" w:w="1800"/>
            <w:vAlign w:val="top"/>
            <w:tcMar>
              <w:top w:w="80" w:type="dxa"/>
              <w:bottom w:w="80" w:type="dxa"/>
              <w:start w:w="120" w:type="dxa"/>
              <w:end w:w="120" w:type="dxa"/>
            </w:tcMar>
          </w:tcPr>
          <w:p>
            <w:pPr>
              <w:spacing w:before="0" w:after="40" w:line="240" w:lineRule="auto"/>
            </w:pPr>
            <w:r>
              <w:rPr>
                <w:rFonts w:ascii="Calibri" w:hAnsi="Calibri"/>
                <w:b w:val="0"/>
                <w:color w:val="1D2630"/>
                <w:sz w:val="15"/>
              </w:rPr>
              <w:t>Démarrage sécurisé</w:t>
            </w:r>
          </w:p>
        </w:tc>
      </w:tr>
      <w:tr>
        <w:trPr>
          <w:cantSplit/>
        </w:trPr>
        <w:tc>
          <w:tcPr>
            <w:tcW w:type="dxa" w:w="792"/>
            <w:vAlign w:val="top"/>
            <w:tcMar>
              <w:top w:w="80" w:type="dxa"/>
              <w:bottom w:w="80" w:type="dxa"/>
              <w:start w:w="120" w:type="dxa"/>
              <w:end w:w="120" w:type="dxa"/>
            </w:tcMar>
          </w:tcPr>
          <w:p>
            <w:pPr>
              <w:spacing w:before="0" w:after="40" w:line="240" w:lineRule="auto"/>
            </w:pPr>
            <w:r>
              <w:rPr>
                <w:rFonts w:ascii="Calibri" w:hAnsi="Calibri"/>
                <w:b/>
                <w:color w:val="1D2630"/>
                <w:sz w:val="15"/>
              </w:rPr>
              <w:t>S12</w:t>
            </w:r>
          </w:p>
        </w:tc>
        <w:tc>
          <w:tcPr>
            <w:tcW w:type="dxa" w:w="3096"/>
            <w:vAlign w:val="top"/>
            <w:tcMar>
              <w:top w:w="80" w:type="dxa"/>
              <w:bottom w:w="80" w:type="dxa"/>
              <w:start w:w="120" w:type="dxa"/>
              <w:end w:w="120" w:type="dxa"/>
            </w:tcMar>
          </w:tcPr>
          <w:p>
            <w:pPr>
              <w:spacing w:before="0" w:after="40" w:line="240" w:lineRule="auto"/>
            </w:pPr>
            <w:r>
              <w:rPr>
                <w:rFonts w:ascii="Calibri" w:hAnsi="Calibri"/>
                <w:b w:val="0"/>
                <w:color w:val="1D2630"/>
                <w:sz w:val="15"/>
              </w:rPr>
              <w:t>Revue de compte trimestrielle</w:t>
            </w:r>
          </w:p>
        </w:tc>
        <w:tc>
          <w:tcPr>
            <w:tcW w:type="dxa" w:w="1152"/>
            <w:vAlign w:val="top"/>
            <w:tcMar>
              <w:top w:w="80" w:type="dxa"/>
              <w:bottom w:w="80" w:type="dxa"/>
              <w:start w:w="120" w:type="dxa"/>
              <w:end w:w="120" w:type="dxa"/>
            </w:tcMar>
          </w:tcPr>
          <w:p>
            <w:pPr>
              <w:spacing w:before="0" w:after="40" w:line="240" w:lineRule="auto"/>
            </w:pPr>
            <w:r>
              <w:rPr>
                <w:rFonts w:ascii="Calibri" w:hAnsi="Calibri"/>
                <w:b w:val="0"/>
                <w:color w:val="1D2630"/>
                <w:sz w:val="15"/>
              </w:rPr>
              <w:t>David/Pierre</w:t>
            </w:r>
          </w:p>
        </w:tc>
        <w:tc>
          <w:tcPr>
            <w:tcW w:type="dxa" w:w="2520"/>
            <w:vAlign w:val="top"/>
            <w:tcMar>
              <w:top w:w="80" w:type="dxa"/>
              <w:bottom w:w="80" w:type="dxa"/>
              <w:start w:w="120" w:type="dxa"/>
              <w:end w:w="120" w:type="dxa"/>
            </w:tcMar>
          </w:tcPr>
          <w:p>
            <w:pPr>
              <w:spacing w:before="0" w:after="40" w:line="240" w:lineRule="auto"/>
            </w:pPr>
            <w:r>
              <w:rPr>
                <w:rFonts w:ascii="Calibri" w:hAnsi="Calibri"/>
                <w:b w:val="0"/>
                <w:color w:val="1D2630"/>
                <w:sz w:val="15"/>
              </w:rPr>
              <w:t>Pipeline, satisfaction, extension autres sites</w:t>
            </w:r>
          </w:p>
        </w:tc>
        <w:tc>
          <w:tcPr>
            <w:tcW w:type="dxa" w:w="1800"/>
            <w:vAlign w:val="top"/>
            <w:tcMar>
              <w:top w:w="80" w:type="dxa"/>
              <w:bottom w:w="80" w:type="dxa"/>
              <w:start w:w="120" w:type="dxa"/>
              <w:end w:w="120" w:type="dxa"/>
            </w:tcMar>
          </w:tcPr>
          <w:p>
            <w:pPr>
              <w:spacing w:before="0" w:after="40" w:line="240" w:lineRule="auto"/>
            </w:pPr>
            <w:r>
              <w:rPr>
                <w:rFonts w:ascii="Calibri" w:hAnsi="Calibri"/>
                <w:b w:val="0"/>
                <w:color w:val="1D2630"/>
                <w:sz w:val="15"/>
              </w:rPr>
              <w:t>Plan T4/2027</w:t>
            </w:r>
          </w:p>
        </w:tc>
      </w:tr>
    </w:tbl>
    <w:p>
      <w:pPr>
        <w:spacing w:after="0"/>
      </w:pPr>
    </w:p>
    <w:p>
      <w:pPr>
        <w:pStyle w:val="Heading1"/>
      </w:pPr>
      <w:r>
        <w:t>10. Pilotage Dolibarr, SmartRecruiters et KPI</w:t>
      </w:r>
    </w:p>
    <w:p>
      <w:pPr>
        <w:pStyle w:val="Heading2"/>
      </w:pPr>
      <w:r>
        <w:t>10.1 Champs Dolibarr - Compte</w:t>
      </w:r>
    </w:p>
    <w:tbl>
      <w:tblPr>
        <w:tblStyle w:val="TableGrid"/>
        <w:tblW w:type="dxa" w:w="9360"/>
        <w:jc w:val="left"/>
        <w:tblLayout w:type="fixed"/>
        <w:tblLook w:firstColumn="1" w:firstRow="1" w:lastColumn="0" w:lastRow="0" w:noHBand="0" w:noVBand="1" w:val="04A0"/>
        <w:tblInd w:type="dxa" w:w="120"/>
      </w:tblPr>
      <w:tblGrid>
        <w:gridCol w:w="2376"/>
        <w:gridCol w:w="6984"/>
      </w:tblGrid>
      <w:tr>
        <w:trPr>
          <w:tblHeader w:val="true"/>
          <w:cantSplit/>
        </w:trPr>
        <w:tc>
          <w:tcPr>
            <w:tcW w:type="dxa" w:w="2376"/>
            <w:shd w:fill="F2F4F7"/>
            <w:vAlign w:val="center"/>
            <w:tcMar>
              <w:top w:w="80" w:type="dxa"/>
              <w:bottom w:w="80" w:type="dxa"/>
              <w:start w:w="120" w:type="dxa"/>
              <w:end w:w="120" w:type="dxa"/>
            </w:tcMar>
          </w:tcPr>
          <w:p>
            <w:pPr>
              <w:spacing w:before="20" w:after="20"/>
            </w:pPr>
            <w:r>
              <w:rPr>
                <w:rFonts w:ascii="Calibri" w:hAnsi="Calibri"/>
                <w:b/>
                <w:color w:val="0B2545"/>
                <w:sz w:val="19"/>
              </w:rPr>
              <w:t>Champ</w:t>
            </w:r>
          </w:p>
        </w:tc>
        <w:tc>
          <w:tcPr>
            <w:tcW w:type="dxa" w:w="6984"/>
            <w:shd w:fill="F2F4F7"/>
            <w:vAlign w:val="center"/>
            <w:tcMar>
              <w:top w:w="80" w:type="dxa"/>
              <w:bottom w:w="80" w:type="dxa"/>
              <w:start w:w="120" w:type="dxa"/>
              <w:end w:w="120" w:type="dxa"/>
            </w:tcMar>
          </w:tcPr>
          <w:p>
            <w:pPr>
              <w:spacing w:before="20" w:after="20"/>
            </w:pPr>
            <w:r>
              <w:rPr>
                <w:rFonts w:ascii="Calibri" w:hAnsi="Calibri"/>
                <w:b/>
                <w:color w:val="0B2545"/>
                <w:sz w:val="19"/>
              </w:rPr>
              <w:t>Valeur ou consigne</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9"/>
              </w:rPr>
              <w:t>Nom compte</w:t>
            </w:r>
          </w:p>
        </w:tc>
        <w:tc>
          <w:tcPr>
            <w:tcW w:type="dxa" w:w="6984"/>
            <w:vAlign w:val="top"/>
            <w:tcMar>
              <w:top w:w="80" w:type="dxa"/>
              <w:bottom w:w="80" w:type="dxa"/>
              <w:start w:w="120" w:type="dxa"/>
              <w:end w:w="120" w:type="dxa"/>
            </w:tcMar>
          </w:tcPr>
          <w:p>
            <w:pPr>
              <w:spacing w:before="0" w:after="40" w:line="240" w:lineRule="auto"/>
            </w:pPr>
            <w:r>
              <w:rPr>
                <w:rFonts w:ascii="Calibri" w:hAnsi="Calibri"/>
                <w:b w:val="0"/>
                <w:color w:val="1D2630"/>
                <w:sz w:val="19"/>
              </w:rPr>
              <w:t>Kuehne+Nagel France</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9"/>
              </w:rPr>
              <w:t>Statut</w:t>
            </w:r>
          </w:p>
        </w:tc>
        <w:tc>
          <w:tcPr>
            <w:tcW w:type="dxa" w:w="6984"/>
            <w:vAlign w:val="top"/>
            <w:tcMar>
              <w:top w:w="80" w:type="dxa"/>
              <w:bottom w:w="80" w:type="dxa"/>
              <w:start w:w="120" w:type="dxa"/>
              <w:end w:w="120" w:type="dxa"/>
            </w:tcMar>
          </w:tcPr>
          <w:p>
            <w:pPr>
              <w:spacing w:before="0" w:after="40" w:line="240" w:lineRule="auto"/>
            </w:pPr>
            <w:r>
              <w:rPr>
                <w:rFonts w:ascii="Calibri" w:hAnsi="Calibri"/>
                <w:b w:val="0"/>
                <w:color w:val="1D2630"/>
                <w:sz w:val="19"/>
              </w:rPr>
              <w:t>Compte stratégique - Prospection active</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9"/>
              </w:rPr>
              <w:t>Account owner</w:t>
            </w:r>
          </w:p>
        </w:tc>
        <w:tc>
          <w:tcPr>
            <w:tcW w:type="dxa" w:w="6984"/>
            <w:vAlign w:val="top"/>
            <w:tcMar>
              <w:top w:w="80" w:type="dxa"/>
              <w:bottom w:w="80" w:type="dxa"/>
              <w:start w:w="120" w:type="dxa"/>
              <w:end w:w="120" w:type="dxa"/>
            </w:tcMar>
          </w:tcPr>
          <w:p>
            <w:pPr>
              <w:spacing w:before="0" w:after="40" w:line="240" w:lineRule="auto"/>
            </w:pPr>
            <w:r>
              <w:rPr>
                <w:rFonts w:ascii="Calibri" w:hAnsi="Calibri"/>
                <w:b w:val="0"/>
                <w:color w:val="1D2630"/>
                <w:sz w:val="19"/>
              </w:rPr>
              <w:t>David</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9"/>
              </w:rPr>
              <w:t>Segment</w:t>
            </w:r>
          </w:p>
        </w:tc>
        <w:tc>
          <w:tcPr>
            <w:tcW w:type="dxa" w:w="6984"/>
            <w:vAlign w:val="top"/>
            <w:tcMar>
              <w:top w:w="80" w:type="dxa"/>
              <w:bottom w:w="80" w:type="dxa"/>
              <w:start w:w="120" w:type="dxa"/>
              <w:end w:w="120" w:type="dxa"/>
            </w:tcMar>
          </w:tcPr>
          <w:p>
            <w:pPr>
              <w:spacing w:before="0" w:after="40" w:line="240" w:lineRule="auto"/>
            </w:pPr>
            <w:r>
              <w:rPr>
                <w:rFonts w:ascii="Calibri" w:hAnsi="Calibri"/>
                <w:b w:val="0"/>
                <w:color w:val="1D2630"/>
                <w:sz w:val="19"/>
              </w:rPr>
              <w:t>Transport, logistique, supply chain</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9"/>
              </w:rPr>
              <w:t>Sites</w:t>
            </w:r>
          </w:p>
        </w:tc>
        <w:tc>
          <w:tcPr>
            <w:tcW w:type="dxa" w:w="6984"/>
            <w:vAlign w:val="top"/>
            <w:tcMar>
              <w:top w:w="80" w:type="dxa"/>
              <w:bottom w:w="80" w:type="dxa"/>
              <w:start w:w="120" w:type="dxa"/>
              <w:end w:w="120" w:type="dxa"/>
            </w:tcMar>
          </w:tcPr>
          <w:p>
            <w:pPr>
              <w:spacing w:before="0" w:after="40" w:line="240" w:lineRule="auto"/>
            </w:pPr>
            <w:r>
              <w:rPr>
                <w:rFonts w:ascii="Calibri" w:hAnsi="Calibri"/>
                <w:b w:val="0"/>
                <w:color w:val="1D2630"/>
                <w:sz w:val="19"/>
              </w:rPr>
              <w:t>Ferrières-en-Brie, Villefranche-sur-Saône, Lyon et plateformes prioritaires</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9"/>
              </w:rPr>
              <w:t>Potentiel 12 mois</w:t>
            </w:r>
          </w:p>
        </w:tc>
        <w:tc>
          <w:tcPr>
            <w:tcW w:type="dxa" w:w="6984"/>
            <w:vAlign w:val="top"/>
            <w:tcMar>
              <w:top w:w="80" w:type="dxa"/>
              <w:bottom w:w="80" w:type="dxa"/>
              <w:start w:w="120" w:type="dxa"/>
              <w:end w:w="120" w:type="dxa"/>
            </w:tcMar>
          </w:tcPr>
          <w:p>
            <w:pPr>
              <w:spacing w:before="0" w:after="40" w:line="240" w:lineRule="auto"/>
            </w:pPr>
            <w:r>
              <w:rPr>
                <w:rFonts w:ascii="Calibri" w:hAnsi="Calibri"/>
                <w:b w:val="0"/>
                <w:color w:val="1D2630"/>
                <w:sz w:val="19"/>
              </w:rPr>
              <w:t>450 k€ à 1 M€ après référencement</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9"/>
              </w:rPr>
              <w:t>Priorité</w:t>
            </w:r>
          </w:p>
        </w:tc>
        <w:tc>
          <w:tcPr>
            <w:tcW w:type="dxa" w:w="6984"/>
            <w:vAlign w:val="top"/>
            <w:tcMar>
              <w:top w:w="80" w:type="dxa"/>
              <w:bottom w:w="80" w:type="dxa"/>
              <w:start w:w="120" w:type="dxa"/>
              <w:end w:w="120" w:type="dxa"/>
            </w:tcMar>
          </w:tcPr>
          <w:p>
            <w:pPr>
              <w:spacing w:before="0" w:after="40" w:line="240" w:lineRule="auto"/>
            </w:pPr>
            <w:r>
              <w:rPr>
                <w:rFonts w:ascii="Calibri" w:hAnsi="Calibri"/>
                <w:b w:val="0"/>
                <w:color w:val="1D2630"/>
                <w:sz w:val="19"/>
              </w:rPr>
              <w:t>P1 - WMS / EDI / Data / PMO</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9"/>
              </w:rPr>
              <w:t>Prochaine action</w:t>
            </w:r>
          </w:p>
        </w:tc>
        <w:tc>
          <w:tcPr>
            <w:tcW w:type="dxa" w:w="6984"/>
            <w:vAlign w:val="top"/>
            <w:tcMar>
              <w:top w:w="80" w:type="dxa"/>
              <w:bottom w:w="80" w:type="dxa"/>
              <w:start w:w="120" w:type="dxa"/>
              <w:end w:w="120" w:type="dxa"/>
            </w:tcMar>
          </w:tcPr>
          <w:p>
            <w:pPr>
              <w:spacing w:before="0" w:after="40" w:line="240" w:lineRule="auto"/>
            </w:pPr>
            <w:r>
              <w:rPr>
                <w:rFonts w:ascii="Calibri" w:hAnsi="Calibri"/>
                <w:b w:val="0"/>
                <w:color w:val="1D2630"/>
                <w:sz w:val="19"/>
              </w:rPr>
              <w:t>Prise de contact Direction IT France/Maghreb</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9"/>
              </w:rPr>
              <w:t>Échéance</w:t>
            </w:r>
          </w:p>
        </w:tc>
        <w:tc>
          <w:tcPr>
            <w:tcW w:type="dxa" w:w="6984"/>
            <w:vAlign w:val="top"/>
            <w:tcMar>
              <w:top w:w="80" w:type="dxa"/>
              <w:bottom w:w="80" w:type="dxa"/>
              <w:start w:w="120" w:type="dxa"/>
              <w:end w:w="120" w:type="dxa"/>
            </w:tcMar>
          </w:tcPr>
          <w:p>
            <w:pPr>
              <w:spacing w:before="0" w:after="40" w:line="240" w:lineRule="auto"/>
            </w:pPr>
            <w:r>
              <w:rPr>
                <w:rFonts w:ascii="Calibri" w:hAnsi="Calibri"/>
                <w:b w:val="0"/>
                <w:color w:val="1D2630"/>
                <w:sz w:val="19"/>
              </w:rPr>
              <w:t>30 septembre 2026 pour le premier rendez-vous</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9"/>
              </w:rPr>
              <w:t>Risques</w:t>
            </w:r>
          </w:p>
        </w:tc>
        <w:tc>
          <w:tcPr>
            <w:tcW w:type="dxa" w:w="6984"/>
            <w:vAlign w:val="top"/>
            <w:tcMar>
              <w:top w:w="80" w:type="dxa"/>
              <w:bottom w:w="80" w:type="dxa"/>
              <w:start w:w="120" w:type="dxa"/>
              <w:end w:w="120" w:type="dxa"/>
            </w:tcMar>
          </w:tcPr>
          <w:p>
            <w:pPr>
              <w:spacing w:before="0" w:after="40" w:line="240" w:lineRule="auto"/>
            </w:pPr>
            <w:r>
              <w:rPr>
                <w:rFonts w:ascii="Calibri" w:hAnsi="Calibri"/>
                <w:b w:val="0"/>
                <w:color w:val="1D2630"/>
                <w:sz w:val="19"/>
              </w:rPr>
              <w:t>Décisions globales, panel fermé, pression TJM, partenaires historiques</w:t>
            </w:r>
          </w:p>
        </w:tc>
      </w:tr>
    </w:tbl>
    <w:p>
      <w:pPr>
        <w:spacing w:after="0"/>
      </w:pPr>
    </w:p>
    <w:p>
      <w:pPr>
        <w:pStyle w:val="Heading2"/>
      </w:pPr>
      <w:r>
        <w:t>10.2 Champs contact</w:t>
      </w:r>
    </w:p>
    <w:tbl>
      <w:tblPr>
        <w:tblStyle w:val="TableGrid"/>
        <w:tblW w:type="dxa" w:w="9360"/>
        <w:jc w:val="left"/>
        <w:tblLayout w:type="fixed"/>
        <w:tblLook w:firstColumn="1" w:firstRow="1" w:lastColumn="0" w:lastRow="0" w:noHBand="0" w:noVBand="1" w:val="04A0"/>
        <w:tblInd w:type="dxa" w:w="120"/>
      </w:tblPr>
      <w:tblGrid>
        <w:gridCol w:w="2376"/>
        <w:gridCol w:w="6984"/>
      </w:tblGrid>
      <w:tr>
        <w:trPr>
          <w:tblHeader w:val="true"/>
          <w:cantSplit/>
        </w:trPr>
        <w:tc>
          <w:tcPr>
            <w:tcW w:type="dxa" w:w="2376"/>
            <w:shd w:fill="F2F4F7"/>
            <w:vAlign w:val="center"/>
            <w:tcMar>
              <w:top w:w="80" w:type="dxa"/>
              <w:bottom w:w="80" w:type="dxa"/>
              <w:start w:w="120" w:type="dxa"/>
              <w:end w:w="120" w:type="dxa"/>
            </w:tcMar>
          </w:tcPr>
          <w:p>
            <w:pPr>
              <w:spacing w:before="20" w:after="20"/>
            </w:pPr>
            <w:r>
              <w:rPr>
                <w:rFonts w:ascii="Calibri" w:hAnsi="Calibri"/>
                <w:b/>
                <w:color w:val="0B2545"/>
                <w:sz w:val="19"/>
              </w:rPr>
              <w:t>Champ</w:t>
            </w:r>
          </w:p>
        </w:tc>
        <w:tc>
          <w:tcPr>
            <w:tcW w:type="dxa" w:w="6984"/>
            <w:shd w:fill="F2F4F7"/>
            <w:vAlign w:val="center"/>
            <w:tcMar>
              <w:top w:w="80" w:type="dxa"/>
              <w:bottom w:w="80" w:type="dxa"/>
              <w:start w:w="120" w:type="dxa"/>
              <w:end w:w="120" w:type="dxa"/>
            </w:tcMar>
          </w:tcPr>
          <w:p>
            <w:pPr>
              <w:spacing w:before="20" w:after="20"/>
            </w:pPr>
            <w:r>
              <w:rPr>
                <w:rFonts w:ascii="Calibri" w:hAnsi="Calibri"/>
                <w:b/>
                <w:color w:val="0B2545"/>
                <w:sz w:val="19"/>
              </w:rPr>
              <w:t>Règle</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9"/>
              </w:rPr>
              <w:t>Nom / prénom</w:t>
            </w:r>
          </w:p>
        </w:tc>
        <w:tc>
          <w:tcPr>
            <w:tcW w:type="dxa" w:w="6984"/>
            <w:vAlign w:val="top"/>
            <w:tcMar>
              <w:top w:w="80" w:type="dxa"/>
              <w:bottom w:w="80" w:type="dxa"/>
              <w:start w:w="120" w:type="dxa"/>
              <w:end w:w="120" w:type="dxa"/>
            </w:tcMar>
          </w:tcPr>
          <w:p>
            <w:pPr>
              <w:spacing w:before="0" w:after="40" w:line="240" w:lineRule="auto"/>
            </w:pPr>
            <w:r>
              <w:rPr>
                <w:rFonts w:ascii="Calibri" w:hAnsi="Calibri"/>
                <w:b w:val="0"/>
                <w:color w:val="1D2630"/>
                <w:sz w:val="19"/>
              </w:rPr>
              <w:t>Identité vérifiée via source publique</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9"/>
              </w:rPr>
              <w:t>Entité / fonction</w:t>
            </w:r>
          </w:p>
        </w:tc>
        <w:tc>
          <w:tcPr>
            <w:tcW w:type="dxa" w:w="6984"/>
            <w:vAlign w:val="top"/>
            <w:tcMar>
              <w:top w:w="80" w:type="dxa"/>
              <w:bottom w:w="80" w:type="dxa"/>
              <w:start w:w="120" w:type="dxa"/>
              <w:end w:w="120" w:type="dxa"/>
            </w:tcMar>
          </w:tcPr>
          <w:p>
            <w:pPr>
              <w:spacing w:before="0" w:after="40" w:line="240" w:lineRule="auto"/>
            </w:pPr>
            <w:r>
              <w:rPr>
                <w:rFonts w:ascii="Calibri" w:hAnsi="Calibri"/>
                <w:b w:val="0"/>
                <w:color w:val="1D2630"/>
                <w:sz w:val="19"/>
              </w:rPr>
              <w:t>Fonction actuelle et périmètre France, Maghreb ou global</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9"/>
              </w:rPr>
              <w:t>Localisation</w:t>
            </w:r>
          </w:p>
        </w:tc>
        <w:tc>
          <w:tcPr>
            <w:tcW w:type="dxa" w:w="6984"/>
            <w:vAlign w:val="top"/>
            <w:tcMar>
              <w:top w:w="80" w:type="dxa"/>
              <w:bottom w:w="80" w:type="dxa"/>
              <w:start w:w="120" w:type="dxa"/>
              <w:end w:w="120" w:type="dxa"/>
            </w:tcMar>
          </w:tcPr>
          <w:p>
            <w:pPr>
              <w:spacing w:before="0" w:after="40" w:line="240" w:lineRule="auto"/>
            </w:pPr>
            <w:r>
              <w:rPr>
                <w:rFonts w:ascii="Calibri" w:hAnsi="Calibri"/>
                <w:b w:val="0"/>
                <w:color w:val="1D2630"/>
                <w:sz w:val="19"/>
              </w:rPr>
              <w:t>Ferrières, Lyon, Villefranche ou autre</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9"/>
              </w:rPr>
              <w:t>LinkedIn</w:t>
            </w:r>
          </w:p>
        </w:tc>
        <w:tc>
          <w:tcPr>
            <w:tcW w:type="dxa" w:w="6984"/>
            <w:vAlign w:val="top"/>
            <w:tcMar>
              <w:top w:w="80" w:type="dxa"/>
              <w:bottom w:w="80" w:type="dxa"/>
              <w:start w:w="120" w:type="dxa"/>
              <w:end w:w="120" w:type="dxa"/>
            </w:tcMar>
          </w:tcPr>
          <w:p>
            <w:pPr>
              <w:spacing w:before="0" w:after="40" w:line="240" w:lineRule="auto"/>
            </w:pPr>
            <w:r>
              <w:rPr>
                <w:rFonts w:ascii="Calibri" w:hAnsi="Calibri"/>
                <w:b w:val="0"/>
                <w:color w:val="1D2630"/>
                <w:sz w:val="19"/>
              </w:rPr>
              <w:t>Lien cliquable</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9"/>
              </w:rPr>
              <w:t>Email / téléphone</w:t>
            </w:r>
          </w:p>
        </w:tc>
        <w:tc>
          <w:tcPr>
            <w:tcW w:type="dxa" w:w="6984"/>
            <w:vAlign w:val="top"/>
            <w:tcMar>
              <w:top w:w="80" w:type="dxa"/>
              <w:bottom w:w="80" w:type="dxa"/>
              <w:start w:w="120" w:type="dxa"/>
              <w:end w:w="120" w:type="dxa"/>
            </w:tcMar>
          </w:tcPr>
          <w:p>
            <w:pPr>
              <w:spacing w:before="0" w:after="40" w:line="240" w:lineRule="auto"/>
            </w:pPr>
            <w:r>
              <w:rPr>
                <w:rFonts w:ascii="Calibri" w:hAnsi="Calibri"/>
                <w:b w:val="0"/>
                <w:color w:val="1D2630"/>
                <w:sz w:val="19"/>
              </w:rPr>
              <w:t>Uniquement après vérification ; indiquer 'non vérifié' sinon</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9"/>
              </w:rPr>
              <w:t>Niveau d'influence</w:t>
            </w:r>
          </w:p>
        </w:tc>
        <w:tc>
          <w:tcPr>
            <w:tcW w:type="dxa" w:w="6984"/>
            <w:vAlign w:val="top"/>
            <w:tcMar>
              <w:top w:w="80" w:type="dxa"/>
              <w:bottom w:w="80" w:type="dxa"/>
              <w:start w:w="120" w:type="dxa"/>
              <w:end w:w="120" w:type="dxa"/>
            </w:tcMar>
          </w:tcPr>
          <w:p>
            <w:pPr>
              <w:spacing w:before="0" w:after="40" w:line="240" w:lineRule="auto"/>
            </w:pPr>
            <w:r>
              <w:rPr>
                <w:rFonts w:ascii="Calibri" w:hAnsi="Calibri"/>
                <w:b w:val="0"/>
                <w:color w:val="1D2630"/>
                <w:sz w:val="19"/>
              </w:rPr>
              <w:t>Sponsor, décideur, prescripteur, utilisateur, gatekeeper</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9"/>
              </w:rPr>
              <w:t>Dernier contact</w:t>
            </w:r>
          </w:p>
        </w:tc>
        <w:tc>
          <w:tcPr>
            <w:tcW w:type="dxa" w:w="6984"/>
            <w:vAlign w:val="top"/>
            <w:tcMar>
              <w:top w:w="80" w:type="dxa"/>
              <w:bottom w:w="80" w:type="dxa"/>
              <w:start w:w="120" w:type="dxa"/>
              <w:end w:w="120" w:type="dxa"/>
            </w:tcMar>
          </w:tcPr>
          <w:p>
            <w:pPr>
              <w:spacing w:before="0" w:after="40" w:line="240" w:lineRule="auto"/>
            </w:pPr>
            <w:r>
              <w:rPr>
                <w:rFonts w:ascii="Calibri" w:hAnsi="Calibri"/>
                <w:b w:val="0"/>
                <w:color w:val="1D2630"/>
                <w:sz w:val="19"/>
              </w:rPr>
              <w:t>Date, canal, résultat et prochaine relance</w:t>
            </w:r>
          </w:p>
        </w:tc>
      </w:tr>
      <w:tr>
        <w:trPr>
          <w:cantSplit/>
        </w:trPr>
        <w:tc>
          <w:tcPr>
            <w:tcW w:type="dxa" w:w="2376"/>
            <w:vAlign w:val="top"/>
            <w:tcMar>
              <w:top w:w="80" w:type="dxa"/>
              <w:bottom w:w="80" w:type="dxa"/>
              <w:start w:w="120" w:type="dxa"/>
              <w:end w:w="120" w:type="dxa"/>
            </w:tcMar>
          </w:tcPr>
          <w:p>
            <w:pPr>
              <w:spacing w:before="0" w:after="40" w:line="240" w:lineRule="auto"/>
            </w:pPr>
            <w:r>
              <w:rPr>
                <w:rFonts w:ascii="Calibri" w:hAnsi="Calibri"/>
                <w:b/>
                <w:color w:val="1D2630"/>
                <w:sz w:val="19"/>
              </w:rPr>
              <w:t>Angle</w:t>
            </w:r>
          </w:p>
        </w:tc>
        <w:tc>
          <w:tcPr>
            <w:tcW w:type="dxa" w:w="6984"/>
            <w:vAlign w:val="top"/>
            <w:tcMar>
              <w:top w:w="80" w:type="dxa"/>
              <w:bottom w:w="80" w:type="dxa"/>
              <w:start w:w="120" w:type="dxa"/>
              <w:end w:w="120" w:type="dxa"/>
            </w:tcMar>
          </w:tcPr>
          <w:p>
            <w:pPr>
              <w:spacing w:before="0" w:after="40" w:line="240" w:lineRule="auto"/>
            </w:pPr>
            <w:r>
              <w:rPr>
                <w:rFonts w:ascii="Calibri" w:hAnsi="Calibri"/>
                <w:b w:val="0"/>
                <w:color w:val="1D2630"/>
                <w:sz w:val="19"/>
              </w:rPr>
              <w:t>WMS, EDI, gouvernance, achats, performance ou finance</w:t>
            </w:r>
          </w:p>
        </w:tc>
      </w:tr>
    </w:tbl>
    <w:p>
      <w:pPr>
        <w:spacing w:after="0"/>
      </w:pPr>
    </w:p>
    <w:p>
      <w:pPr>
        <w:pStyle w:val="Heading2"/>
      </w:pPr>
      <w:r>
        <w:t>10.3 Champs SmartRecruiters - Vivier Kuehne+Nagel</w:t>
      </w:r>
    </w:p>
    <w:p>
      <w:pPr>
        <w:pStyle w:val="ListBullet"/>
      </w:pPr>
      <w:r>
        <w:rPr>
          <w:rFonts w:ascii="Calibri" w:hAnsi="Calibri"/>
          <w:color w:val="1D2630"/>
        </w:rPr>
        <w:t>Domaine et intitulé de profil.</w:t>
      </w:r>
    </w:p>
    <w:p>
      <w:pPr>
        <w:pStyle w:val="ListBullet"/>
      </w:pPr>
      <w:r>
        <w:rPr>
          <w:rFonts w:ascii="Calibri" w:hAnsi="Calibri"/>
          <w:color w:val="1D2630"/>
        </w:rPr>
        <w:t>Technologies : Blue Yonder/JDA, autres WMS, TMS, EDI, API, cloud, sécurité.</w:t>
      </w:r>
    </w:p>
    <w:p>
      <w:pPr>
        <w:pStyle w:val="ListBullet"/>
      </w:pPr>
      <w:r>
        <w:rPr>
          <w:rFonts w:ascii="Calibri" w:hAnsi="Calibri"/>
          <w:color w:val="1D2630"/>
        </w:rPr>
        <w:t>Secteurs et clients : logistique, transport, 3PL, retail, industrie, aéronautique, healthcare.</w:t>
      </w:r>
    </w:p>
    <w:p>
      <w:pPr>
        <w:pStyle w:val="ListBullet"/>
      </w:pPr>
      <w:r>
        <w:rPr>
          <w:rFonts w:ascii="Calibri" w:hAnsi="Calibri"/>
          <w:color w:val="1D2630"/>
        </w:rPr>
        <w:t>Durée de chaque mission et score de stabilité.</w:t>
      </w:r>
    </w:p>
    <w:p>
      <w:pPr>
        <w:pStyle w:val="ListBullet"/>
      </w:pPr>
      <w:r>
        <w:rPr>
          <w:rFonts w:ascii="Calibri" w:hAnsi="Calibri"/>
          <w:color w:val="1D2630"/>
        </w:rPr>
        <w:t>Disponibilité, localisation, mobilité sites, télétravail et anglais.</w:t>
      </w:r>
    </w:p>
    <w:p>
      <w:pPr>
        <w:pStyle w:val="ListBullet"/>
      </w:pPr>
      <w:r>
        <w:rPr>
          <w:rFonts w:ascii="Calibri" w:hAnsi="Calibri"/>
          <w:color w:val="1D2630"/>
        </w:rPr>
        <w:t>TJM souhaité, TJM cible Tilencia et marge estimée.</w:t>
      </w:r>
    </w:p>
    <w:p>
      <w:pPr>
        <w:pStyle w:val="ListBullet"/>
      </w:pPr>
      <w:r>
        <w:rPr>
          <w:rFonts w:ascii="Calibri" w:hAnsi="Calibri"/>
          <w:color w:val="1D2630"/>
        </w:rPr>
        <w:t>Références, impacts mesurables et niveau de qualification technique.</w:t>
      </w:r>
    </w:p>
    <w:p>
      <w:pPr>
        <w:pStyle w:val="Heading2"/>
      </w:pPr>
      <w:r>
        <w:t>10.4 KPI de pénétration du compte</w:t>
      </w:r>
    </w:p>
    <w:tbl>
      <w:tblPr>
        <w:tblStyle w:val="TableGrid"/>
        <w:tblW w:type="dxa" w:w="9360"/>
        <w:jc w:val="left"/>
        <w:tblLayout w:type="fixed"/>
        <w:tblLook w:firstColumn="1" w:firstRow="1" w:lastColumn="0" w:lastRow="0" w:noHBand="0" w:noVBand="1" w:val="04A0"/>
        <w:tblInd w:type="dxa" w:w="120"/>
      </w:tblPr>
      <w:tblGrid>
        <w:gridCol w:w="3024"/>
        <w:gridCol w:w="2088"/>
        <w:gridCol w:w="2088"/>
        <w:gridCol w:w="2160"/>
      </w:tblGrid>
      <w:tr>
        <w:trPr>
          <w:tblHeader w:val="true"/>
          <w:cantSplit/>
        </w:trPr>
        <w:tc>
          <w:tcPr>
            <w:tcW w:type="dxa" w:w="3024"/>
            <w:shd w:fill="F2F4F7"/>
            <w:vAlign w:val="center"/>
            <w:tcMar>
              <w:top w:w="80" w:type="dxa"/>
              <w:bottom w:w="80" w:type="dxa"/>
              <w:start w:w="120" w:type="dxa"/>
              <w:end w:w="120" w:type="dxa"/>
            </w:tcMar>
          </w:tcPr>
          <w:p>
            <w:pPr>
              <w:spacing w:before="20" w:after="20"/>
            </w:pPr>
            <w:r>
              <w:rPr>
                <w:rFonts w:ascii="Calibri" w:hAnsi="Calibri"/>
                <w:b/>
                <w:color w:val="0B2545"/>
                <w:sz w:val="17"/>
              </w:rPr>
              <w:t>KPI</w:t>
            </w:r>
          </w:p>
        </w:tc>
        <w:tc>
          <w:tcPr>
            <w:tcW w:type="dxa" w:w="2088"/>
            <w:shd w:fill="F2F4F7"/>
            <w:vAlign w:val="center"/>
            <w:tcMar>
              <w:top w:w="80" w:type="dxa"/>
              <w:bottom w:w="80" w:type="dxa"/>
              <w:start w:w="120" w:type="dxa"/>
              <w:end w:w="120" w:type="dxa"/>
            </w:tcMar>
          </w:tcPr>
          <w:p>
            <w:pPr>
              <w:spacing w:before="20" w:after="20"/>
            </w:pPr>
            <w:r>
              <w:rPr>
                <w:rFonts w:ascii="Calibri" w:hAnsi="Calibri"/>
                <w:b/>
                <w:color w:val="0B2545"/>
                <w:sz w:val="17"/>
              </w:rPr>
              <w:t>Cible à 30 jours</w:t>
            </w:r>
          </w:p>
        </w:tc>
        <w:tc>
          <w:tcPr>
            <w:tcW w:type="dxa" w:w="2088"/>
            <w:shd w:fill="F2F4F7"/>
            <w:vAlign w:val="center"/>
            <w:tcMar>
              <w:top w:w="80" w:type="dxa"/>
              <w:bottom w:w="80" w:type="dxa"/>
              <w:start w:w="120" w:type="dxa"/>
              <w:end w:w="120" w:type="dxa"/>
            </w:tcMar>
          </w:tcPr>
          <w:p>
            <w:pPr>
              <w:spacing w:before="20" w:after="20"/>
            </w:pPr>
            <w:r>
              <w:rPr>
                <w:rFonts w:ascii="Calibri" w:hAnsi="Calibri"/>
                <w:b/>
                <w:color w:val="0B2545"/>
                <w:sz w:val="17"/>
              </w:rPr>
              <w:t>Cible à 60 jours</w:t>
            </w:r>
          </w:p>
        </w:tc>
        <w:tc>
          <w:tcPr>
            <w:tcW w:type="dxa" w:w="2160"/>
            <w:shd w:fill="F2F4F7"/>
            <w:vAlign w:val="center"/>
            <w:tcMar>
              <w:top w:w="80" w:type="dxa"/>
              <w:bottom w:w="80" w:type="dxa"/>
              <w:start w:w="120" w:type="dxa"/>
              <w:end w:w="120" w:type="dxa"/>
            </w:tcMar>
          </w:tcPr>
          <w:p>
            <w:pPr>
              <w:spacing w:before="20" w:after="20"/>
            </w:pPr>
            <w:r>
              <w:rPr>
                <w:rFonts w:ascii="Calibri" w:hAnsi="Calibri"/>
                <w:b/>
                <w:color w:val="0B2545"/>
                <w:sz w:val="17"/>
              </w:rPr>
              <w:t>Cible à 90 jours</w:t>
            </w:r>
          </w:p>
        </w:tc>
      </w:tr>
      <w:tr>
        <w:trPr>
          <w:cantSplit/>
        </w:trPr>
        <w:tc>
          <w:tcPr>
            <w:tcW w:type="dxa" w:w="3024"/>
            <w:vAlign w:val="top"/>
            <w:tcMar>
              <w:top w:w="80" w:type="dxa"/>
              <w:bottom w:w="80" w:type="dxa"/>
              <w:start w:w="120" w:type="dxa"/>
              <w:end w:w="120" w:type="dxa"/>
            </w:tcMar>
          </w:tcPr>
          <w:p>
            <w:pPr>
              <w:spacing w:before="0" w:after="40" w:line="240" w:lineRule="auto"/>
            </w:pPr>
            <w:r>
              <w:rPr>
                <w:rFonts w:ascii="Calibri" w:hAnsi="Calibri"/>
                <w:b/>
                <w:color w:val="1D2630"/>
                <w:sz w:val="17"/>
              </w:rPr>
              <w:t>Contacts qualifiés</w:t>
            </w:r>
          </w:p>
        </w:tc>
        <w:tc>
          <w:tcPr>
            <w:tcW w:type="dxa" w:w="2088"/>
            <w:vAlign w:val="top"/>
            <w:tcMar>
              <w:top w:w="80" w:type="dxa"/>
              <w:bottom w:w="80" w:type="dxa"/>
              <w:start w:w="120" w:type="dxa"/>
              <w:end w:w="120" w:type="dxa"/>
            </w:tcMar>
          </w:tcPr>
          <w:p>
            <w:pPr>
              <w:spacing w:before="0" w:after="40" w:line="240" w:lineRule="auto"/>
            </w:pPr>
            <w:r>
              <w:rPr>
                <w:rFonts w:ascii="Calibri" w:hAnsi="Calibri"/>
                <w:b w:val="0"/>
                <w:color w:val="1D2630"/>
                <w:sz w:val="17"/>
              </w:rPr>
              <w:t>9</w:t>
            </w:r>
          </w:p>
        </w:tc>
        <w:tc>
          <w:tcPr>
            <w:tcW w:type="dxa" w:w="2088"/>
            <w:vAlign w:val="top"/>
            <w:tcMar>
              <w:top w:w="80" w:type="dxa"/>
              <w:bottom w:w="80" w:type="dxa"/>
              <w:start w:w="120" w:type="dxa"/>
              <w:end w:w="120" w:type="dxa"/>
            </w:tcMar>
          </w:tcPr>
          <w:p>
            <w:pPr>
              <w:spacing w:before="0" w:after="40" w:line="240" w:lineRule="auto"/>
            </w:pPr>
            <w:r>
              <w:rPr>
                <w:rFonts w:ascii="Calibri" w:hAnsi="Calibri"/>
                <w:b w:val="0"/>
                <w:color w:val="1D2630"/>
                <w:sz w:val="17"/>
              </w:rPr>
              <w:t>15</w:t>
            </w:r>
          </w:p>
        </w:tc>
        <w:tc>
          <w:tcPr>
            <w:tcW w:type="dxa" w:w="2160"/>
            <w:vAlign w:val="top"/>
            <w:tcMar>
              <w:top w:w="80" w:type="dxa"/>
              <w:bottom w:w="80" w:type="dxa"/>
              <w:start w:w="120" w:type="dxa"/>
              <w:end w:w="120" w:type="dxa"/>
            </w:tcMar>
          </w:tcPr>
          <w:p>
            <w:pPr>
              <w:spacing w:before="0" w:after="40" w:line="240" w:lineRule="auto"/>
            </w:pPr>
            <w:r>
              <w:rPr>
                <w:rFonts w:ascii="Calibri" w:hAnsi="Calibri"/>
                <w:b w:val="0"/>
                <w:color w:val="1D2630"/>
                <w:sz w:val="17"/>
              </w:rPr>
              <w:t>20</w:t>
            </w:r>
          </w:p>
        </w:tc>
      </w:tr>
      <w:tr>
        <w:trPr>
          <w:cantSplit/>
        </w:trPr>
        <w:tc>
          <w:tcPr>
            <w:tcW w:type="dxa" w:w="3024"/>
            <w:vAlign w:val="top"/>
            <w:tcMar>
              <w:top w:w="80" w:type="dxa"/>
              <w:bottom w:w="80" w:type="dxa"/>
              <w:start w:w="120" w:type="dxa"/>
              <w:end w:w="120" w:type="dxa"/>
            </w:tcMar>
          </w:tcPr>
          <w:p>
            <w:pPr>
              <w:spacing w:before="0" w:after="40" w:line="240" w:lineRule="auto"/>
            </w:pPr>
            <w:r>
              <w:rPr>
                <w:rFonts w:ascii="Calibri" w:hAnsi="Calibri"/>
                <w:b/>
                <w:color w:val="1D2630"/>
                <w:sz w:val="17"/>
              </w:rPr>
              <w:t>Connexions LinkedIn acceptées</w:t>
            </w:r>
          </w:p>
        </w:tc>
        <w:tc>
          <w:tcPr>
            <w:tcW w:type="dxa" w:w="2088"/>
            <w:vAlign w:val="top"/>
            <w:tcMar>
              <w:top w:w="80" w:type="dxa"/>
              <w:bottom w:w="80" w:type="dxa"/>
              <w:start w:w="120" w:type="dxa"/>
              <w:end w:w="120" w:type="dxa"/>
            </w:tcMar>
          </w:tcPr>
          <w:p>
            <w:pPr>
              <w:spacing w:before="0" w:after="40" w:line="240" w:lineRule="auto"/>
            </w:pPr>
            <w:r>
              <w:rPr>
                <w:rFonts w:ascii="Calibri" w:hAnsi="Calibri"/>
                <w:b w:val="0"/>
                <w:color w:val="1D2630"/>
                <w:sz w:val="17"/>
              </w:rPr>
              <w:t>4</w:t>
            </w:r>
          </w:p>
        </w:tc>
        <w:tc>
          <w:tcPr>
            <w:tcW w:type="dxa" w:w="2088"/>
            <w:vAlign w:val="top"/>
            <w:tcMar>
              <w:top w:w="80" w:type="dxa"/>
              <w:bottom w:w="80" w:type="dxa"/>
              <w:start w:w="120" w:type="dxa"/>
              <w:end w:w="120" w:type="dxa"/>
            </w:tcMar>
          </w:tcPr>
          <w:p>
            <w:pPr>
              <w:spacing w:before="0" w:after="40" w:line="240" w:lineRule="auto"/>
            </w:pPr>
            <w:r>
              <w:rPr>
                <w:rFonts w:ascii="Calibri" w:hAnsi="Calibri"/>
                <w:b w:val="0"/>
                <w:color w:val="1D2630"/>
                <w:sz w:val="17"/>
              </w:rPr>
              <w:t>8</w:t>
            </w:r>
          </w:p>
        </w:tc>
        <w:tc>
          <w:tcPr>
            <w:tcW w:type="dxa" w:w="2160"/>
            <w:vAlign w:val="top"/>
            <w:tcMar>
              <w:top w:w="80" w:type="dxa"/>
              <w:bottom w:w="80" w:type="dxa"/>
              <w:start w:w="120" w:type="dxa"/>
              <w:end w:w="120" w:type="dxa"/>
            </w:tcMar>
          </w:tcPr>
          <w:p>
            <w:pPr>
              <w:spacing w:before="0" w:after="40" w:line="240" w:lineRule="auto"/>
            </w:pPr>
            <w:r>
              <w:rPr>
                <w:rFonts w:ascii="Calibri" w:hAnsi="Calibri"/>
                <w:b w:val="0"/>
                <w:color w:val="1D2630"/>
                <w:sz w:val="17"/>
              </w:rPr>
              <w:t>12</w:t>
            </w:r>
          </w:p>
        </w:tc>
      </w:tr>
      <w:tr>
        <w:trPr>
          <w:cantSplit/>
        </w:trPr>
        <w:tc>
          <w:tcPr>
            <w:tcW w:type="dxa" w:w="3024"/>
            <w:vAlign w:val="top"/>
            <w:tcMar>
              <w:top w:w="80" w:type="dxa"/>
              <w:bottom w:w="80" w:type="dxa"/>
              <w:start w:w="120" w:type="dxa"/>
              <w:end w:w="120" w:type="dxa"/>
            </w:tcMar>
          </w:tcPr>
          <w:p>
            <w:pPr>
              <w:spacing w:before="0" w:after="40" w:line="240" w:lineRule="auto"/>
            </w:pPr>
            <w:r>
              <w:rPr>
                <w:rFonts w:ascii="Calibri" w:hAnsi="Calibri"/>
                <w:b/>
                <w:color w:val="1D2630"/>
                <w:sz w:val="17"/>
              </w:rPr>
              <w:t>Rendez-vous</w:t>
            </w:r>
          </w:p>
        </w:tc>
        <w:tc>
          <w:tcPr>
            <w:tcW w:type="dxa" w:w="2088"/>
            <w:vAlign w:val="top"/>
            <w:tcMar>
              <w:top w:w="80" w:type="dxa"/>
              <w:bottom w:w="80" w:type="dxa"/>
              <w:start w:w="120" w:type="dxa"/>
              <w:end w:w="120" w:type="dxa"/>
            </w:tcMar>
          </w:tcPr>
          <w:p>
            <w:pPr>
              <w:spacing w:before="0" w:after="40" w:line="240" w:lineRule="auto"/>
            </w:pPr>
            <w:r>
              <w:rPr>
                <w:rFonts w:ascii="Calibri" w:hAnsi="Calibri"/>
                <w:b w:val="0"/>
                <w:color w:val="1D2630"/>
                <w:sz w:val="17"/>
              </w:rPr>
              <w:t>1</w:t>
            </w:r>
          </w:p>
        </w:tc>
        <w:tc>
          <w:tcPr>
            <w:tcW w:type="dxa" w:w="2088"/>
            <w:vAlign w:val="top"/>
            <w:tcMar>
              <w:top w:w="80" w:type="dxa"/>
              <w:bottom w:w="80" w:type="dxa"/>
              <w:start w:w="120" w:type="dxa"/>
              <w:end w:w="120" w:type="dxa"/>
            </w:tcMar>
          </w:tcPr>
          <w:p>
            <w:pPr>
              <w:spacing w:before="0" w:after="40" w:line="240" w:lineRule="auto"/>
            </w:pPr>
            <w:r>
              <w:rPr>
                <w:rFonts w:ascii="Calibri" w:hAnsi="Calibri"/>
                <w:b w:val="0"/>
                <w:color w:val="1D2630"/>
                <w:sz w:val="17"/>
              </w:rPr>
              <w:t>3</w:t>
            </w:r>
          </w:p>
        </w:tc>
        <w:tc>
          <w:tcPr>
            <w:tcW w:type="dxa" w:w="2160"/>
            <w:vAlign w:val="top"/>
            <w:tcMar>
              <w:top w:w="80" w:type="dxa"/>
              <w:bottom w:w="80" w:type="dxa"/>
              <w:start w:w="120" w:type="dxa"/>
              <w:end w:w="120" w:type="dxa"/>
            </w:tcMar>
          </w:tcPr>
          <w:p>
            <w:pPr>
              <w:spacing w:before="0" w:after="40" w:line="240" w:lineRule="auto"/>
            </w:pPr>
            <w:r>
              <w:rPr>
                <w:rFonts w:ascii="Calibri" w:hAnsi="Calibri"/>
                <w:b w:val="0"/>
                <w:color w:val="1D2630"/>
                <w:sz w:val="17"/>
              </w:rPr>
              <w:t>5</w:t>
            </w:r>
          </w:p>
        </w:tc>
      </w:tr>
      <w:tr>
        <w:trPr>
          <w:cantSplit/>
        </w:trPr>
        <w:tc>
          <w:tcPr>
            <w:tcW w:type="dxa" w:w="3024"/>
            <w:vAlign w:val="top"/>
            <w:tcMar>
              <w:top w:w="80" w:type="dxa"/>
              <w:bottom w:w="80" w:type="dxa"/>
              <w:start w:w="120" w:type="dxa"/>
              <w:end w:w="120" w:type="dxa"/>
            </w:tcMar>
          </w:tcPr>
          <w:p>
            <w:pPr>
              <w:spacing w:before="0" w:after="40" w:line="240" w:lineRule="auto"/>
            </w:pPr>
            <w:r>
              <w:rPr>
                <w:rFonts w:ascii="Calibri" w:hAnsi="Calibri"/>
                <w:b/>
                <w:color w:val="1D2630"/>
                <w:sz w:val="17"/>
              </w:rPr>
              <w:t>Sponsors actifs</w:t>
            </w:r>
          </w:p>
        </w:tc>
        <w:tc>
          <w:tcPr>
            <w:tcW w:type="dxa" w:w="2088"/>
            <w:vAlign w:val="top"/>
            <w:tcMar>
              <w:top w:w="80" w:type="dxa"/>
              <w:bottom w:w="80" w:type="dxa"/>
              <w:start w:w="120" w:type="dxa"/>
              <w:end w:w="120" w:type="dxa"/>
            </w:tcMar>
          </w:tcPr>
          <w:p>
            <w:pPr>
              <w:spacing w:before="0" w:after="40" w:line="240" w:lineRule="auto"/>
            </w:pPr>
            <w:r>
              <w:rPr>
                <w:rFonts w:ascii="Calibri" w:hAnsi="Calibri"/>
                <w:b w:val="0"/>
                <w:color w:val="1D2630"/>
                <w:sz w:val="17"/>
              </w:rPr>
              <w:t>0-1</w:t>
            </w:r>
          </w:p>
        </w:tc>
        <w:tc>
          <w:tcPr>
            <w:tcW w:type="dxa" w:w="2088"/>
            <w:vAlign w:val="top"/>
            <w:tcMar>
              <w:top w:w="80" w:type="dxa"/>
              <w:bottom w:w="80" w:type="dxa"/>
              <w:start w:w="120" w:type="dxa"/>
              <w:end w:w="120" w:type="dxa"/>
            </w:tcMar>
          </w:tcPr>
          <w:p>
            <w:pPr>
              <w:spacing w:before="0" w:after="40" w:line="240" w:lineRule="auto"/>
            </w:pPr>
            <w:r>
              <w:rPr>
                <w:rFonts w:ascii="Calibri" w:hAnsi="Calibri"/>
                <w:b w:val="0"/>
                <w:color w:val="1D2630"/>
                <w:sz w:val="17"/>
              </w:rPr>
              <w:t>1</w:t>
            </w:r>
          </w:p>
        </w:tc>
        <w:tc>
          <w:tcPr>
            <w:tcW w:type="dxa" w:w="2160"/>
            <w:vAlign w:val="top"/>
            <w:tcMar>
              <w:top w:w="80" w:type="dxa"/>
              <w:bottom w:w="80" w:type="dxa"/>
              <w:start w:w="120" w:type="dxa"/>
              <w:end w:w="120" w:type="dxa"/>
            </w:tcMar>
          </w:tcPr>
          <w:p>
            <w:pPr>
              <w:spacing w:before="0" w:after="40" w:line="240" w:lineRule="auto"/>
            </w:pPr>
            <w:r>
              <w:rPr>
                <w:rFonts w:ascii="Calibri" w:hAnsi="Calibri"/>
                <w:b w:val="0"/>
                <w:color w:val="1D2630"/>
                <w:sz w:val="17"/>
              </w:rPr>
              <w:t>2</w:t>
            </w:r>
          </w:p>
        </w:tc>
      </w:tr>
      <w:tr>
        <w:trPr>
          <w:cantSplit/>
        </w:trPr>
        <w:tc>
          <w:tcPr>
            <w:tcW w:type="dxa" w:w="3024"/>
            <w:vAlign w:val="top"/>
            <w:tcMar>
              <w:top w:w="80" w:type="dxa"/>
              <w:bottom w:w="80" w:type="dxa"/>
              <w:start w:w="120" w:type="dxa"/>
              <w:end w:w="120" w:type="dxa"/>
            </w:tcMar>
          </w:tcPr>
          <w:p>
            <w:pPr>
              <w:spacing w:before="0" w:after="40" w:line="240" w:lineRule="auto"/>
            </w:pPr>
            <w:r>
              <w:rPr>
                <w:rFonts w:ascii="Calibri" w:hAnsi="Calibri"/>
                <w:b/>
                <w:color w:val="1D2630"/>
                <w:sz w:val="17"/>
              </w:rPr>
              <w:t>Besoins qualifiés</w:t>
            </w:r>
          </w:p>
        </w:tc>
        <w:tc>
          <w:tcPr>
            <w:tcW w:type="dxa" w:w="2088"/>
            <w:vAlign w:val="top"/>
            <w:tcMar>
              <w:top w:w="80" w:type="dxa"/>
              <w:bottom w:w="80" w:type="dxa"/>
              <w:start w:w="120" w:type="dxa"/>
              <w:end w:w="120" w:type="dxa"/>
            </w:tcMar>
          </w:tcPr>
          <w:p>
            <w:pPr>
              <w:spacing w:before="0" w:after="40" w:line="240" w:lineRule="auto"/>
            </w:pPr>
            <w:r>
              <w:rPr>
                <w:rFonts w:ascii="Calibri" w:hAnsi="Calibri"/>
                <w:b w:val="0"/>
                <w:color w:val="1D2630"/>
                <w:sz w:val="17"/>
              </w:rPr>
              <w:t>0</w:t>
            </w:r>
          </w:p>
        </w:tc>
        <w:tc>
          <w:tcPr>
            <w:tcW w:type="dxa" w:w="2088"/>
            <w:vAlign w:val="top"/>
            <w:tcMar>
              <w:top w:w="80" w:type="dxa"/>
              <w:bottom w:w="80" w:type="dxa"/>
              <w:start w:w="120" w:type="dxa"/>
              <w:end w:w="120" w:type="dxa"/>
            </w:tcMar>
          </w:tcPr>
          <w:p>
            <w:pPr>
              <w:spacing w:before="0" w:after="40" w:line="240" w:lineRule="auto"/>
            </w:pPr>
            <w:r>
              <w:rPr>
                <w:rFonts w:ascii="Calibri" w:hAnsi="Calibri"/>
                <w:b w:val="0"/>
                <w:color w:val="1D2630"/>
                <w:sz w:val="17"/>
              </w:rPr>
              <w:t>2</w:t>
            </w:r>
          </w:p>
        </w:tc>
        <w:tc>
          <w:tcPr>
            <w:tcW w:type="dxa" w:w="2160"/>
            <w:vAlign w:val="top"/>
            <w:tcMar>
              <w:top w:w="80" w:type="dxa"/>
              <w:bottom w:w="80" w:type="dxa"/>
              <w:start w:w="120" w:type="dxa"/>
              <w:end w:w="120" w:type="dxa"/>
            </w:tcMar>
          </w:tcPr>
          <w:p>
            <w:pPr>
              <w:spacing w:before="0" w:after="40" w:line="240" w:lineRule="auto"/>
            </w:pPr>
            <w:r>
              <w:rPr>
                <w:rFonts w:ascii="Calibri" w:hAnsi="Calibri"/>
                <w:b w:val="0"/>
                <w:color w:val="1D2630"/>
                <w:sz w:val="17"/>
              </w:rPr>
              <w:t>3</w:t>
            </w:r>
          </w:p>
        </w:tc>
      </w:tr>
      <w:tr>
        <w:trPr>
          <w:cantSplit/>
        </w:trPr>
        <w:tc>
          <w:tcPr>
            <w:tcW w:type="dxa" w:w="3024"/>
            <w:vAlign w:val="top"/>
            <w:tcMar>
              <w:top w:w="80" w:type="dxa"/>
              <w:bottom w:w="80" w:type="dxa"/>
              <w:start w:w="120" w:type="dxa"/>
              <w:end w:w="120" w:type="dxa"/>
            </w:tcMar>
          </w:tcPr>
          <w:p>
            <w:pPr>
              <w:spacing w:before="0" w:after="40" w:line="240" w:lineRule="auto"/>
            </w:pPr>
            <w:r>
              <w:rPr>
                <w:rFonts w:ascii="Calibri" w:hAnsi="Calibri"/>
                <w:b/>
                <w:color w:val="1D2630"/>
                <w:sz w:val="17"/>
              </w:rPr>
              <w:t>Profils vivier</w:t>
            </w:r>
          </w:p>
        </w:tc>
        <w:tc>
          <w:tcPr>
            <w:tcW w:type="dxa" w:w="2088"/>
            <w:vAlign w:val="top"/>
            <w:tcMar>
              <w:top w:w="80" w:type="dxa"/>
              <w:bottom w:w="80" w:type="dxa"/>
              <w:start w:w="120" w:type="dxa"/>
              <w:end w:w="120" w:type="dxa"/>
            </w:tcMar>
          </w:tcPr>
          <w:p>
            <w:pPr>
              <w:spacing w:before="0" w:after="40" w:line="240" w:lineRule="auto"/>
            </w:pPr>
            <w:r>
              <w:rPr>
                <w:rFonts w:ascii="Calibri" w:hAnsi="Calibri"/>
                <w:b w:val="0"/>
                <w:color w:val="1D2630"/>
                <w:sz w:val="17"/>
              </w:rPr>
              <w:t>12</w:t>
            </w:r>
          </w:p>
        </w:tc>
        <w:tc>
          <w:tcPr>
            <w:tcW w:type="dxa" w:w="2088"/>
            <w:vAlign w:val="top"/>
            <w:tcMar>
              <w:top w:w="80" w:type="dxa"/>
              <w:bottom w:w="80" w:type="dxa"/>
              <w:start w:w="120" w:type="dxa"/>
              <w:end w:w="120" w:type="dxa"/>
            </w:tcMar>
          </w:tcPr>
          <w:p>
            <w:pPr>
              <w:spacing w:before="0" w:after="40" w:line="240" w:lineRule="auto"/>
            </w:pPr>
            <w:r>
              <w:rPr>
                <w:rFonts w:ascii="Calibri" w:hAnsi="Calibri"/>
                <w:b w:val="0"/>
                <w:color w:val="1D2630"/>
                <w:sz w:val="17"/>
              </w:rPr>
              <w:t>16</w:t>
            </w:r>
          </w:p>
        </w:tc>
        <w:tc>
          <w:tcPr>
            <w:tcW w:type="dxa" w:w="2160"/>
            <w:vAlign w:val="top"/>
            <w:tcMar>
              <w:top w:w="80" w:type="dxa"/>
              <w:bottom w:w="80" w:type="dxa"/>
              <w:start w:w="120" w:type="dxa"/>
              <w:end w:w="120" w:type="dxa"/>
            </w:tcMar>
          </w:tcPr>
          <w:p>
            <w:pPr>
              <w:spacing w:before="0" w:after="40" w:line="240" w:lineRule="auto"/>
            </w:pPr>
            <w:r>
              <w:rPr>
                <w:rFonts w:ascii="Calibri" w:hAnsi="Calibri"/>
                <w:b w:val="0"/>
                <w:color w:val="1D2630"/>
                <w:sz w:val="17"/>
              </w:rPr>
              <w:t>20</w:t>
            </w:r>
          </w:p>
        </w:tc>
      </w:tr>
      <w:tr>
        <w:trPr>
          <w:cantSplit/>
        </w:trPr>
        <w:tc>
          <w:tcPr>
            <w:tcW w:type="dxa" w:w="3024"/>
            <w:vAlign w:val="top"/>
            <w:tcMar>
              <w:top w:w="80" w:type="dxa"/>
              <w:bottom w:w="80" w:type="dxa"/>
              <w:start w:w="120" w:type="dxa"/>
              <w:end w:w="120" w:type="dxa"/>
            </w:tcMar>
          </w:tcPr>
          <w:p>
            <w:pPr>
              <w:spacing w:before="0" w:after="40" w:line="240" w:lineRule="auto"/>
            </w:pPr>
            <w:r>
              <w:rPr>
                <w:rFonts w:ascii="Calibri" w:hAnsi="Calibri"/>
                <w:b/>
                <w:color w:val="1D2630"/>
                <w:sz w:val="17"/>
              </w:rPr>
              <w:t>Profils adressés</w:t>
            </w:r>
          </w:p>
        </w:tc>
        <w:tc>
          <w:tcPr>
            <w:tcW w:type="dxa" w:w="2088"/>
            <w:vAlign w:val="top"/>
            <w:tcMar>
              <w:top w:w="80" w:type="dxa"/>
              <w:bottom w:w="80" w:type="dxa"/>
              <w:start w:w="120" w:type="dxa"/>
              <w:end w:w="120" w:type="dxa"/>
            </w:tcMar>
          </w:tcPr>
          <w:p>
            <w:pPr>
              <w:spacing w:before="0" w:after="40" w:line="240" w:lineRule="auto"/>
            </w:pPr>
            <w:r>
              <w:rPr>
                <w:rFonts w:ascii="Calibri" w:hAnsi="Calibri"/>
                <w:b w:val="0"/>
                <w:color w:val="1D2630"/>
                <w:sz w:val="17"/>
              </w:rPr>
              <w:t>0</w:t>
            </w:r>
          </w:p>
        </w:tc>
        <w:tc>
          <w:tcPr>
            <w:tcW w:type="dxa" w:w="2088"/>
            <w:vAlign w:val="top"/>
            <w:tcMar>
              <w:top w:w="80" w:type="dxa"/>
              <w:bottom w:w="80" w:type="dxa"/>
              <w:start w:w="120" w:type="dxa"/>
              <w:end w:w="120" w:type="dxa"/>
            </w:tcMar>
          </w:tcPr>
          <w:p>
            <w:pPr>
              <w:spacing w:before="0" w:after="40" w:line="240" w:lineRule="auto"/>
            </w:pPr>
            <w:r>
              <w:rPr>
                <w:rFonts w:ascii="Calibri" w:hAnsi="Calibri"/>
                <w:b w:val="0"/>
                <w:color w:val="1D2630"/>
                <w:sz w:val="17"/>
              </w:rPr>
              <w:t>2</w:t>
            </w:r>
          </w:p>
        </w:tc>
        <w:tc>
          <w:tcPr>
            <w:tcW w:type="dxa" w:w="2160"/>
            <w:vAlign w:val="top"/>
            <w:tcMar>
              <w:top w:w="80" w:type="dxa"/>
              <w:bottom w:w="80" w:type="dxa"/>
              <w:start w:w="120" w:type="dxa"/>
              <w:end w:w="120" w:type="dxa"/>
            </w:tcMar>
          </w:tcPr>
          <w:p>
            <w:pPr>
              <w:spacing w:before="0" w:after="40" w:line="240" w:lineRule="auto"/>
            </w:pPr>
            <w:r>
              <w:rPr>
                <w:rFonts w:ascii="Calibri" w:hAnsi="Calibri"/>
                <w:b w:val="0"/>
                <w:color w:val="1D2630"/>
                <w:sz w:val="17"/>
              </w:rPr>
              <w:t>5</w:t>
            </w:r>
          </w:p>
        </w:tc>
      </w:tr>
      <w:tr>
        <w:trPr>
          <w:cantSplit/>
        </w:trPr>
        <w:tc>
          <w:tcPr>
            <w:tcW w:type="dxa" w:w="3024"/>
            <w:vAlign w:val="top"/>
            <w:tcMar>
              <w:top w:w="80" w:type="dxa"/>
              <w:bottom w:w="80" w:type="dxa"/>
              <w:start w:w="120" w:type="dxa"/>
              <w:end w:w="120" w:type="dxa"/>
            </w:tcMar>
          </w:tcPr>
          <w:p>
            <w:pPr>
              <w:spacing w:before="0" w:after="40" w:line="240" w:lineRule="auto"/>
            </w:pPr>
            <w:r>
              <w:rPr>
                <w:rFonts w:ascii="Calibri" w:hAnsi="Calibri"/>
                <w:b/>
                <w:color w:val="1D2630"/>
                <w:sz w:val="17"/>
              </w:rPr>
              <w:t>Opportunités Dolibarr</w:t>
            </w:r>
          </w:p>
        </w:tc>
        <w:tc>
          <w:tcPr>
            <w:tcW w:type="dxa" w:w="2088"/>
            <w:vAlign w:val="top"/>
            <w:tcMar>
              <w:top w:w="80" w:type="dxa"/>
              <w:bottom w:w="80" w:type="dxa"/>
              <w:start w:w="120" w:type="dxa"/>
              <w:end w:w="120" w:type="dxa"/>
            </w:tcMar>
          </w:tcPr>
          <w:p>
            <w:pPr>
              <w:spacing w:before="0" w:after="40" w:line="240" w:lineRule="auto"/>
            </w:pPr>
            <w:r>
              <w:rPr>
                <w:rFonts w:ascii="Calibri" w:hAnsi="Calibri"/>
                <w:b w:val="0"/>
                <w:color w:val="1D2630"/>
                <w:sz w:val="17"/>
              </w:rPr>
              <w:t>1</w:t>
            </w:r>
          </w:p>
        </w:tc>
        <w:tc>
          <w:tcPr>
            <w:tcW w:type="dxa" w:w="2088"/>
            <w:vAlign w:val="top"/>
            <w:tcMar>
              <w:top w:w="80" w:type="dxa"/>
              <w:bottom w:w="80" w:type="dxa"/>
              <w:start w:w="120" w:type="dxa"/>
              <w:end w:w="120" w:type="dxa"/>
            </w:tcMar>
          </w:tcPr>
          <w:p>
            <w:pPr>
              <w:spacing w:before="0" w:after="40" w:line="240" w:lineRule="auto"/>
            </w:pPr>
            <w:r>
              <w:rPr>
                <w:rFonts w:ascii="Calibri" w:hAnsi="Calibri"/>
                <w:b w:val="0"/>
                <w:color w:val="1D2630"/>
                <w:sz w:val="17"/>
              </w:rPr>
              <w:t>2</w:t>
            </w:r>
          </w:p>
        </w:tc>
        <w:tc>
          <w:tcPr>
            <w:tcW w:type="dxa" w:w="2160"/>
            <w:vAlign w:val="top"/>
            <w:tcMar>
              <w:top w:w="80" w:type="dxa"/>
              <w:bottom w:w="80" w:type="dxa"/>
              <w:start w:w="120" w:type="dxa"/>
              <w:end w:w="120" w:type="dxa"/>
            </w:tcMar>
          </w:tcPr>
          <w:p>
            <w:pPr>
              <w:spacing w:before="0" w:after="40" w:line="240" w:lineRule="auto"/>
            </w:pPr>
            <w:r>
              <w:rPr>
                <w:rFonts w:ascii="Calibri" w:hAnsi="Calibri"/>
                <w:b w:val="0"/>
                <w:color w:val="1D2630"/>
                <w:sz w:val="17"/>
              </w:rPr>
              <w:t>3</w:t>
            </w:r>
          </w:p>
        </w:tc>
      </w:tr>
      <w:tr>
        <w:trPr>
          <w:cantSplit/>
        </w:trPr>
        <w:tc>
          <w:tcPr>
            <w:tcW w:type="dxa" w:w="3024"/>
            <w:vAlign w:val="top"/>
            <w:tcMar>
              <w:top w:w="80" w:type="dxa"/>
              <w:bottom w:w="80" w:type="dxa"/>
              <w:start w:w="120" w:type="dxa"/>
              <w:end w:w="120" w:type="dxa"/>
            </w:tcMar>
          </w:tcPr>
          <w:p>
            <w:pPr>
              <w:spacing w:before="0" w:after="40" w:line="240" w:lineRule="auto"/>
            </w:pPr>
            <w:r>
              <w:rPr>
                <w:rFonts w:ascii="Calibri" w:hAnsi="Calibri"/>
                <w:b/>
                <w:color w:val="1D2630"/>
                <w:sz w:val="17"/>
              </w:rPr>
              <w:t>Référencement</w:t>
            </w:r>
          </w:p>
        </w:tc>
        <w:tc>
          <w:tcPr>
            <w:tcW w:type="dxa" w:w="2088"/>
            <w:vAlign w:val="top"/>
            <w:tcMar>
              <w:top w:w="80" w:type="dxa"/>
              <w:bottom w:w="80" w:type="dxa"/>
              <w:start w:w="120" w:type="dxa"/>
              <w:end w:w="120" w:type="dxa"/>
            </w:tcMar>
          </w:tcPr>
          <w:p>
            <w:pPr>
              <w:spacing w:before="0" w:after="40" w:line="240" w:lineRule="auto"/>
            </w:pPr>
            <w:r>
              <w:rPr>
                <w:rFonts w:ascii="Calibri" w:hAnsi="Calibri"/>
                <w:b w:val="0"/>
                <w:color w:val="1D2630"/>
                <w:sz w:val="17"/>
              </w:rPr>
              <w:t>À identifier</w:t>
            </w:r>
          </w:p>
        </w:tc>
        <w:tc>
          <w:tcPr>
            <w:tcW w:type="dxa" w:w="2088"/>
            <w:vAlign w:val="top"/>
            <w:tcMar>
              <w:top w:w="80" w:type="dxa"/>
              <w:bottom w:w="80" w:type="dxa"/>
              <w:start w:w="120" w:type="dxa"/>
              <w:end w:w="120" w:type="dxa"/>
            </w:tcMar>
          </w:tcPr>
          <w:p>
            <w:pPr>
              <w:spacing w:before="0" w:after="40" w:line="240" w:lineRule="auto"/>
            </w:pPr>
            <w:r>
              <w:rPr>
                <w:rFonts w:ascii="Calibri" w:hAnsi="Calibri"/>
                <w:b w:val="0"/>
                <w:color w:val="1D2630"/>
                <w:sz w:val="17"/>
              </w:rPr>
              <w:t>Process lancé</w:t>
            </w:r>
          </w:p>
        </w:tc>
        <w:tc>
          <w:tcPr>
            <w:tcW w:type="dxa" w:w="2160"/>
            <w:vAlign w:val="top"/>
            <w:tcMar>
              <w:top w:w="80" w:type="dxa"/>
              <w:bottom w:w="80" w:type="dxa"/>
              <w:start w:w="120" w:type="dxa"/>
              <w:end w:w="120" w:type="dxa"/>
            </w:tcMar>
          </w:tcPr>
          <w:p>
            <w:pPr>
              <w:spacing w:before="0" w:after="40" w:line="240" w:lineRule="auto"/>
            </w:pPr>
            <w:r>
              <w:rPr>
                <w:rFonts w:ascii="Calibri" w:hAnsi="Calibri"/>
                <w:b w:val="0"/>
                <w:color w:val="1D2630"/>
                <w:sz w:val="17"/>
              </w:rPr>
              <w:t>Obtenu ou planifié</w:t>
            </w:r>
          </w:p>
        </w:tc>
      </w:tr>
    </w:tbl>
    <w:p>
      <w:pPr>
        <w:spacing w:after="0"/>
      </w:pPr>
    </w:p>
    <w:p>
      <w:pPr>
        <w:pStyle w:val="Heading1"/>
      </w:pPr>
      <w:r>
        <w:t>11. Risques, objections et réponses</w:t>
      </w:r>
    </w:p>
    <w:tbl>
      <w:tblPr>
        <w:tblStyle w:val="TableGrid"/>
        <w:tblW w:type="dxa" w:w="9360"/>
        <w:jc w:val="left"/>
        <w:tblLayout w:type="fixed"/>
        <w:tblLook w:firstColumn="1" w:firstRow="1" w:lastColumn="0" w:lastRow="0" w:noHBand="0" w:noVBand="1" w:val="04A0"/>
        <w:tblInd w:type="dxa" w:w="120"/>
      </w:tblPr>
      <w:tblGrid>
        <w:gridCol w:w="2520"/>
        <w:gridCol w:w="1944"/>
        <w:gridCol w:w="4896"/>
      </w:tblGrid>
      <w:tr>
        <w:trPr>
          <w:tblHeader w:val="true"/>
          <w:cantSplit/>
        </w:trPr>
        <w:tc>
          <w:tcPr>
            <w:tcW w:type="dxa" w:w="2520"/>
            <w:shd w:fill="F2F4F7"/>
            <w:vAlign w:val="center"/>
            <w:tcMar>
              <w:top w:w="80" w:type="dxa"/>
              <w:bottom w:w="80" w:type="dxa"/>
              <w:start w:w="120" w:type="dxa"/>
              <w:end w:w="120" w:type="dxa"/>
            </w:tcMar>
          </w:tcPr>
          <w:p>
            <w:pPr>
              <w:spacing w:before="20" w:after="20"/>
            </w:pPr>
            <w:r>
              <w:rPr>
                <w:rFonts w:ascii="Calibri" w:hAnsi="Calibri"/>
                <w:b/>
                <w:color w:val="0B2545"/>
                <w:sz w:val="19"/>
              </w:rPr>
              <w:t>Risque / objection</w:t>
            </w:r>
          </w:p>
        </w:tc>
        <w:tc>
          <w:tcPr>
            <w:tcW w:type="dxa" w:w="1944"/>
            <w:shd w:fill="F2F4F7"/>
            <w:vAlign w:val="center"/>
            <w:tcMar>
              <w:top w:w="80" w:type="dxa"/>
              <w:bottom w:w="80" w:type="dxa"/>
              <w:start w:w="120" w:type="dxa"/>
              <w:end w:w="120" w:type="dxa"/>
            </w:tcMar>
          </w:tcPr>
          <w:p>
            <w:pPr>
              <w:spacing w:before="20" w:after="20"/>
            </w:pPr>
            <w:r>
              <w:rPr>
                <w:rFonts w:ascii="Calibri" w:hAnsi="Calibri"/>
                <w:b/>
                <w:color w:val="0B2545"/>
                <w:sz w:val="19"/>
              </w:rPr>
              <w:t>Impact</w:t>
            </w:r>
          </w:p>
        </w:tc>
        <w:tc>
          <w:tcPr>
            <w:tcW w:type="dxa" w:w="4896"/>
            <w:shd w:fill="F2F4F7"/>
            <w:vAlign w:val="center"/>
            <w:tcMar>
              <w:top w:w="80" w:type="dxa"/>
              <w:bottom w:w="80" w:type="dxa"/>
              <w:start w:w="120" w:type="dxa"/>
              <w:end w:w="120" w:type="dxa"/>
            </w:tcMar>
          </w:tcPr>
          <w:p>
            <w:pPr>
              <w:spacing w:before="20" w:after="20"/>
            </w:pPr>
            <w:r>
              <w:rPr>
                <w:rFonts w:ascii="Calibri" w:hAnsi="Calibri"/>
                <w:b/>
                <w:color w:val="0B2545"/>
                <w:sz w:val="19"/>
              </w:rPr>
              <w:t>Réponse Tilencia</w:t>
            </w:r>
          </w:p>
        </w:tc>
      </w:tr>
      <w:tr>
        <w:trPr>
          <w:cantSplit/>
        </w:trPr>
        <w:tc>
          <w:tcPr>
            <w:tcW w:type="dxa" w:w="2520"/>
            <w:vAlign w:val="top"/>
            <w:tcMar>
              <w:top w:w="80" w:type="dxa"/>
              <w:bottom w:w="80" w:type="dxa"/>
              <w:start w:w="120" w:type="dxa"/>
              <w:end w:w="120" w:type="dxa"/>
            </w:tcMar>
          </w:tcPr>
          <w:p>
            <w:pPr>
              <w:spacing w:before="0" w:after="40" w:line="240" w:lineRule="auto"/>
            </w:pPr>
            <w:r>
              <w:rPr>
                <w:rFonts w:ascii="Calibri" w:hAnsi="Calibri"/>
                <w:b/>
                <w:color w:val="1D2630"/>
                <w:sz w:val="19"/>
              </w:rPr>
              <w:t>Panel fournisseurs fermé</w:t>
            </w:r>
          </w:p>
        </w:tc>
        <w:tc>
          <w:tcPr>
            <w:tcW w:type="dxa" w:w="1944"/>
            <w:vAlign w:val="top"/>
            <w:tcMar>
              <w:top w:w="80" w:type="dxa"/>
              <w:bottom w:w="80" w:type="dxa"/>
              <w:start w:w="120" w:type="dxa"/>
              <w:end w:w="120" w:type="dxa"/>
            </w:tcMar>
          </w:tcPr>
          <w:p>
            <w:pPr>
              <w:spacing w:before="0" w:after="40" w:line="240" w:lineRule="auto"/>
            </w:pPr>
            <w:r>
              <w:rPr>
                <w:rFonts w:ascii="Calibri" w:hAnsi="Calibri"/>
                <w:b w:val="0"/>
                <w:color w:val="1D2630"/>
                <w:sz w:val="19"/>
              </w:rPr>
              <w:t>Blocage de la contractualisation</w:t>
            </w:r>
          </w:p>
        </w:tc>
        <w:tc>
          <w:tcPr>
            <w:tcW w:type="dxa" w:w="4896"/>
            <w:vAlign w:val="top"/>
            <w:tcMar>
              <w:top w:w="80" w:type="dxa"/>
              <w:bottom w:w="80" w:type="dxa"/>
              <w:start w:w="120" w:type="dxa"/>
              <w:end w:w="120" w:type="dxa"/>
            </w:tcMar>
          </w:tcPr>
          <w:p>
            <w:pPr>
              <w:spacing w:before="0" w:after="40" w:line="240" w:lineRule="auto"/>
            </w:pPr>
            <w:r>
              <w:rPr>
                <w:rFonts w:ascii="Calibri" w:hAnsi="Calibri"/>
                <w:b w:val="0"/>
                <w:color w:val="1D2630"/>
                <w:sz w:val="19"/>
              </w:rPr>
              <w:t>Obtenir un sponsor et proposer une première intervention via le canal autorisé ou lors d'une réouverture de panel.</w:t>
            </w:r>
          </w:p>
        </w:tc>
      </w:tr>
      <w:tr>
        <w:trPr>
          <w:cantSplit/>
        </w:trPr>
        <w:tc>
          <w:tcPr>
            <w:tcW w:type="dxa" w:w="2520"/>
            <w:vAlign w:val="top"/>
            <w:tcMar>
              <w:top w:w="80" w:type="dxa"/>
              <w:bottom w:w="80" w:type="dxa"/>
              <w:start w:w="120" w:type="dxa"/>
              <w:end w:w="120" w:type="dxa"/>
            </w:tcMar>
          </w:tcPr>
          <w:p>
            <w:pPr>
              <w:spacing w:before="0" w:after="40" w:line="240" w:lineRule="auto"/>
            </w:pPr>
            <w:r>
              <w:rPr>
                <w:rFonts w:ascii="Calibri" w:hAnsi="Calibri"/>
                <w:b/>
                <w:color w:val="1D2630"/>
                <w:sz w:val="19"/>
              </w:rPr>
              <w:t>Décision centralisée hors de France</w:t>
            </w:r>
          </w:p>
        </w:tc>
        <w:tc>
          <w:tcPr>
            <w:tcW w:type="dxa" w:w="1944"/>
            <w:vAlign w:val="top"/>
            <w:tcMar>
              <w:top w:w="80" w:type="dxa"/>
              <w:bottom w:w="80" w:type="dxa"/>
              <w:start w:w="120" w:type="dxa"/>
              <w:end w:w="120" w:type="dxa"/>
            </w:tcMar>
          </w:tcPr>
          <w:p>
            <w:pPr>
              <w:spacing w:before="0" w:after="40" w:line="240" w:lineRule="auto"/>
            </w:pPr>
            <w:r>
              <w:rPr>
                <w:rFonts w:ascii="Calibri" w:hAnsi="Calibri"/>
                <w:b w:val="0"/>
                <w:color w:val="1D2630"/>
                <w:sz w:val="19"/>
              </w:rPr>
              <w:t>Cycle plus long</w:t>
            </w:r>
          </w:p>
        </w:tc>
        <w:tc>
          <w:tcPr>
            <w:tcW w:type="dxa" w:w="4896"/>
            <w:vAlign w:val="top"/>
            <w:tcMar>
              <w:top w:w="80" w:type="dxa"/>
              <w:bottom w:w="80" w:type="dxa"/>
              <w:start w:w="120" w:type="dxa"/>
              <w:end w:w="120" w:type="dxa"/>
            </w:tcMar>
          </w:tcPr>
          <w:p>
            <w:pPr>
              <w:spacing w:before="0" w:after="40" w:line="240" w:lineRule="auto"/>
            </w:pPr>
            <w:r>
              <w:rPr>
                <w:rFonts w:ascii="Calibri" w:hAnsi="Calibri"/>
                <w:b w:val="0"/>
                <w:color w:val="1D2630"/>
                <w:sz w:val="19"/>
              </w:rPr>
              <w:t>Identifier le rôle de Julie Chevallier et préparer une présentation en anglais si nécessaire.</w:t>
            </w:r>
          </w:p>
        </w:tc>
      </w:tr>
      <w:tr>
        <w:trPr>
          <w:cantSplit/>
        </w:trPr>
        <w:tc>
          <w:tcPr>
            <w:tcW w:type="dxa" w:w="2520"/>
            <w:vAlign w:val="top"/>
            <w:tcMar>
              <w:top w:w="80" w:type="dxa"/>
              <w:bottom w:w="80" w:type="dxa"/>
              <w:start w:w="120" w:type="dxa"/>
              <w:end w:w="120" w:type="dxa"/>
            </w:tcMar>
          </w:tcPr>
          <w:p>
            <w:pPr>
              <w:spacing w:before="0" w:after="40" w:line="240" w:lineRule="auto"/>
            </w:pPr>
            <w:r>
              <w:rPr>
                <w:rFonts w:ascii="Calibri" w:hAnsi="Calibri"/>
                <w:b/>
                <w:color w:val="1D2630"/>
                <w:sz w:val="19"/>
              </w:rPr>
              <w:t>Partenaires globaux déjà présents</w:t>
            </w:r>
          </w:p>
        </w:tc>
        <w:tc>
          <w:tcPr>
            <w:tcW w:type="dxa" w:w="1944"/>
            <w:vAlign w:val="top"/>
            <w:tcMar>
              <w:top w:w="80" w:type="dxa"/>
              <w:bottom w:w="80" w:type="dxa"/>
              <w:start w:w="120" w:type="dxa"/>
              <w:end w:w="120" w:type="dxa"/>
            </w:tcMar>
          </w:tcPr>
          <w:p>
            <w:pPr>
              <w:spacing w:before="0" w:after="40" w:line="240" w:lineRule="auto"/>
            </w:pPr>
            <w:r>
              <w:rPr>
                <w:rFonts w:ascii="Calibri" w:hAnsi="Calibri"/>
                <w:b w:val="0"/>
                <w:color w:val="1D2630"/>
                <w:sz w:val="19"/>
              </w:rPr>
              <w:t>Concurrence forte</w:t>
            </w:r>
          </w:p>
        </w:tc>
        <w:tc>
          <w:tcPr>
            <w:tcW w:type="dxa" w:w="4896"/>
            <w:vAlign w:val="top"/>
            <w:tcMar>
              <w:top w:w="80" w:type="dxa"/>
              <w:bottom w:w="80" w:type="dxa"/>
              <w:start w:w="120" w:type="dxa"/>
              <w:end w:w="120" w:type="dxa"/>
            </w:tcMar>
          </w:tcPr>
          <w:p>
            <w:pPr>
              <w:spacing w:before="0" w:after="40" w:line="240" w:lineRule="auto"/>
            </w:pPr>
            <w:r>
              <w:rPr>
                <w:rFonts w:ascii="Calibri" w:hAnsi="Calibri"/>
                <w:b w:val="0"/>
                <w:color w:val="1D2630"/>
                <w:sz w:val="19"/>
              </w:rPr>
              <w:t>Se positionner en complément local sur les expertises rares, les pics de charge et les sites français.</w:t>
            </w:r>
          </w:p>
        </w:tc>
      </w:tr>
      <w:tr>
        <w:trPr>
          <w:cantSplit/>
        </w:trPr>
        <w:tc>
          <w:tcPr>
            <w:tcW w:type="dxa" w:w="2520"/>
            <w:vAlign w:val="top"/>
            <w:tcMar>
              <w:top w:w="80" w:type="dxa"/>
              <w:bottom w:w="80" w:type="dxa"/>
              <w:start w:w="120" w:type="dxa"/>
              <w:end w:w="120" w:type="dxa"/>
            </w:tcMar>
          </w:tcPr>
          <w:p>
            <w:pPr>
              <w:spacing w:before="0" w:after="40" w:line="240" w:lineRule="auto"/>
            </w:pPr>
            <w:r>
              <w:rPr>
                <w:rFonts w:ascii="Calibri" w:hAnsi="Calibri"/>
                <w:b/>
                <w:color w:val="1D2630"/>
                <w:sz w:val="19"/>
              </w:rPr>
              <w:t>Pression sur les TJM</w:t>
            </w:r>
          </w:p>
        </w:tc>
        <w:tc>
          <w:tcPr>
            <w:tcW w:type="dxa" w:w="1944"/>
            <w:vAlign w:val="top"/>
            <w:tcMar>
              <w:top w:w="80" w:type="dxa"/>
              <w:bottom w:w="80" w:type="dxa"/>
              <w:start w:w="120" w:type="dxa"/>
              <w:end w:w="120" w:type="dxa"/>
            </w:tcMar>
          </w:tcPr>
          <w:p>
            <w:pPr>
              <w:spacing w:before="0" w:after="40" w:line="240" w:lineRule="auto"/>
            </w:pPr>
            <w:r>
              <w:rPr>
                <w:rFonts w:ascii="Calibri" w:hAnsi="Calibri"/>
                <w:b w:val="0"/>
                <w:color w:val="1D2630"/>
                <w:sz w:val="19"/>
              </w:rPr>
              <w:t>Marge réduite</w:t>
            </w:r>
          </w:p>
        </w:tc>
        <w:tc>
          <w:tcPr>
            <w:tcW w:type="dxa" w:w="4896"/>
            <w:vAlign w:val="top"/>
            <w:tcMar>
              <w:top w:w="80" w:type="dxa"/>
              <w:bottom w:w="80" w:type="dxa"/>
              <w:start w:w="120" w:type="dxa"/>
              <w:end w:w="120" w:type="dxa"/>
            </w:tcMar>
          </w:tcPr>
          <w:p>
            <w:pPr>
              <w:spacing w:before="0" w:after="40" w:line="240" w:lineRule="auto"/>
            </w:pPr>
            <w:r>
              <w:rPr>
                <w:rFonts w:ascii="Calibri" w:hAnsi="Calibri"/>
                <w:b w:val="0"/>
                <w:color w:val="1D2630"/>
                <w:sz w:val="19"/>
              </w:rPr>
              <w:t>Justifier le TJM par le risque couvert, la séniorité, la stabilité et la vitesse de mobilisation.</w:t>
            </w:r>
          </w:p>
        </w:tc>
      </w:tr>
      <w:tr>
        <w:trPr>
          <w:cantSplit/>
        </w:trPr>
        <w:tc>
          <w:tcPr>
            <w:tcW w:type="dxa" w:w="2520"/>
            <w:vAlign w:val="top"/>
            <w:tcMar>
              <w:top w:w="80" w:type="dxa"/>
              <w:bottom w:w="80" w:type="dxa"/>
              <w:start w:w="120" w:type="dxa"/>
              <w:end w:w="120" w:type="dxa"/>
            </w:tcMar>
          </w:tcPr>
          <w:p>
            <w:pPr>
              <w:spacing w:before="0" w:after="40" w:line="240" w:lineRule="auto"/>
            </w:pPr>
            <w:r>
              <w:rPr>
                <w:rFonts w:ascii="Calibri" w:hAnsi="Calibri"/>
                <w:b/>
                <w:color w:val="1D2630"/>
                <w:sz w:val="19"/>
              </w:rPr>
              <w:t>Manque de références logistiques</w:t>
            </w:r>
          </w:p>
        </w:tc>
        <w:tc>
          <w:tcPr>
            <w:tcW w:type="dxa" w:w="1944"/>
            <w:vAlign w:val="top"/>
            <w:tcMar>
              <w:top w:w="80" w:type="dxa"/>
              <w:bottom w:w="80" w:type="dxa"/>
              <w:start w:w="120" w:type="dxa"/>
              <w:end w:w="120" w:type="dxa"/>
            </w:tcMar>
          </w:tcPr>
          <w:p>
            <w:pPr>
              <w:spacing w:before="0" w:after="40" w:line="240" w:lineRule="auto"/>
            </w:pPr>
            <w:r>
              <w:rPr>
                <w:rFonts w:ascii="Calibri" w:hAnsi="Calibri"/>
                <w:b w:val="0"/>
                <w:color w:val="1D2630"/>
                <w:sz w:val="19"/>
              </w:rPr>
              <w:t>Crédibilité limitée</w:t>
            </w:r>
          </w:p>
        </w:tc>
        <w:tc>
          <w:tcPr>
            <w:tcW w:type="dxa" w:w="4896"/>
            <w:vAlign w:val="top"/>
            <w:tcMar>
              <w:top w:w="80" w:type="dxa"/>
              <w:bottom w:w="80" w:type="dxa"/>
              <w:start w:w="120" w:type="dxa"/>
              <w:end w:w="120" w:type="dxa"/>
            </w:tcMar>
          </w:tcPr>
          <w:p>
            <w:pPr>
              <w:spacing w:before="0" w:after="40" w:line="240" w:lineRule="auto"/>
            </w:pPr>
            <w:r>
              <w:rPr>
                <w:rFonts w:ascii="Calibri" w:hAnsi="Calibri"/>
                <w:b w:val="0"/>
                <w:color w:val="1D2630"/>
                <w:sz w:val="19"/>
              </w:rPr>
              <w:t>Prioriser les candidats ayant déjà travaillé en 3PL, transport, WMS/TMS ou environnements multisites.</w:t>
            </w:r>
          </w:p>
        </w:tc>
      </w:tr>
      <w:tr>
        <w:trPr>
          <w:cantSplit/>
        </w:trPr>
        <w:tc>
          <w:tcPr>
            <w:tcW w:type="dxa" w:w="2520"/>
            <w:vAlign w:val="top"/>
            <w:tcMar>
              <w:top w:w="80" w:type="dxa"/>
              <w:bottom w:w="80" w:type="dxa"/>
              <w:start w:w="120" w:type="dxa"/>
              <w:end w:w="120" w:type="dxa"/>
            </w:tcMar>
          </w:tcPr>
          <w:p>
            <w:pPr>
              <w:spacing w:before="0" w:after="40" w:line="240" w:lineRule="auto"/>
            </w:pPr>
            <w:r>
              <w:rPr>
                <w:rFonts w:ascii="Calibri" w:hAnsi="Calibri"/>
                <w:b/>
                <w:color w:val="1D2630"/>
                <w:sz w:val="19"/>
              </w:rPr>
              <w:t>Absence de Blue Yonder</w:t>
            </w:r>
          </w:p>
        </w:tc>
        <w:tc>
          <w:tcPr>
            <w:tcW w:type="dxa" w:w="1944"/>
            <w:vAlign w:val="top"/>
            <w:tcMar>
              <w:top w:w="80" w:type="dxa"/>
              <w:bottom w:w="80" w:type="dxa"/>
              <w:start w:w="120" w:type="dxa"/>
              <w:end w:w="120" w:type="dxa"/>
            </w:tcMar>
          </w:tcPr>
          <w:p>
            <w:pPr>
              <w:spacing w:before="0" w:after="40" w:line="240" w:lineRule="auto"/>
            </w:pPr>
            <w:r>
              <w:rPr>
                <w:rFonts w:ascii="Calibri" w:hAnsi="Calibri"/>
                <w:b w:val="0"/>
                <w:color w:val="1D2630"/>
                <w:sz w:val="19"/>
              </w:rPr>
              <w:t>Rareté du vivier</w:t>
            </w:r>
          </w:p>
        </w:tc>
        <w:tc>
          <w:tcPr>
            <w:tcW w:type="dxa" w:w="4896"/>
            <w:vAlign w:val="top"/>
            <w:tcMar>
              <w:top w:w="80" w:type="dxa"/>
              <w:bottom w:w="80" w:type="dxa"/>
              <w:start w:w="120" w:type="dxa"/>
              <w:end w:w="120" w:type="dxa"/>
            </w:tcMar>
          </w:tcPr>
          <w:p>
            <w:pPr>
              <w:spacing w:before="0" w:after="40" w:line="240" w:lineRule="auto"/>
            </w:pPr>
            <w:r>
              <w:rPr>
                <w:rFonts w:ascii="Calibri" w:hAnsi="Calibri"/>
                <w:b w:val="0"/>
                <w:color w:val="1D2630"/>
                <w:sz w:val="19"/>
              </w:rPr>
              <w:t>Élargir à JDA/RedPrairie et aux WMS comparables, en exigeant une forte expérience de migration et de déploiement.</w:t>
            </w:r>
          </w:p>
        </w:tc>
      </w:tr>
      <w:tr>
        <w:trPr>
          <w:cantSplit/>
        </w:trPr>
        <w:tc>
          <w:tcPr>
            <w:tcW w:type="dxa" w:w="2520"/>
            <w:vAlign w:val="top"/>
            <w:tcMar>
              <w:top w:w="80" w:type="dxa"/>
              <w:bottom w:w="80" w:type="dxa"/>
              <w:start w:w="120" w:type="dxa"/>
              <w:end w:w="120" w:type="dxa"/>
            </w:tcMar>
          </w:tcPr>
          <w:p>
            <w:pPr>
              <w:spacing w:before="0" w:after="40" w:line="240" w:lineRule="auto"/>
            </w:pPr>
            <w:r>
              <w:rPr>
                <w:rFonts w:ascii="Calibri" w:hAnsi="Calibri"/>
                <w:b/>
                <w:color w:val="1D2630"/>
                <w:sz w:val="19"/>
              </w:rPr>
              <w:t>Besoin non encore budgété</w:t>
            </w:r>
          </w:p>
        </w:tc>
        <w:tc>
          <w:tcPr>
            <w:tcW w:type="dxa" w:w="1944"/>
            <w:vAlign w:val="top"/>
            <w:tcMar>
              <w:top w:w="80" w:type="dxa"/>
              <w:bottom w:w="80" w:type="dxa"/>
              <w:start w:w="120" w:type="dxa"/>
              <w:end w:w="120" w:type="dxa"/>
            </w:tcMar>
          </w:tcPr>
          <w:p>
            <w:pPr>
              <w:spacing w:before="0" w:after="40" w:line="240" w:lineRule="auto"/>
            </w:pPr>
            <w:r>
              <w:rPr>
                <w:rFonts w:ascii="Calibri" w:hAnsi="Calibri"/>
                <w:b w:val="0"/>
                <w:color w:val="1D2630"/>
                <w:sz w:val="19"/>
              </w:rPr>
              <w:t>Pas d'opportunité immédiate</w:t>
            </w:r>
          </w:p>
        </w:tc>
        <w:tc>
          <w:tcPr>
            <w:tcW w:type="dxa" w:w="4896"/>
            <w:vAlign w:val="top"/>
            <w:tcMar>
              <w:top w:w="80" w:type="dxa"/>
              <w:bottom w:w="80" w:type="dxa"/>
              <w:start w:w="120" w:type="dxa"/>
              <w:end w:w="120" w:type="dxa"/>
            </w:tcMar>
          </w:tcPr>
          <w:p>
            <w:pPr>
              <w:spacing w:before="0" w:after="40" w:line="240" w:lineRule="auto"/>
            </w:pPr>
            <w:r>
              <w:rPr>
                <w:rFonts w:ascii="Calibri" w:hAnsi="Calibri"/>
                <w:b w:val="0"/>
                <w:color w:val="1D2630"/>
                <w:sz w:val="19"/>
              </w:rPr>
              <w:t>Construire un vivier préventif et maintenir une veille mensuelle sur les projets, recrutements et signaux publics.</w:t>
            </w:r>
          </w:p>
        </w:tc>
      </w:tr>
    </w:tbl>
    <w:p>
      <w:pPr>
        <w:spacing w:after="0"/>
      </w:pPr>
    </w:p>
    <w:p>
      <w:pPr>
        <w:pStyle w:val="Heading2"/>
      </w:pPr>
      <w:r>
        <w:t>11.1 Conditions de GO/NO GO sur une opportunité</w:t>
      </w:r>
    </w:p>
    <w:p>
      <w:pPr>
        <w:pStyle w:val="ListBullet"/>
      </w:pPr>
      <w:r>
        <w:rPr>
          <w:rFonts w:ascii="Calibri" w:hAnsi="Calibri"/>
          <w:color w:val="1D2630"/>
        </w:rPr>
        <w:t>GO si le besoin est sponsorisé, le budget ou le processus achats est identifié et un profil stable est disponible.</w:t>
      </w:r>
    </w:p>
    <w:p>
      <w:pPr>
        <w:pStyle w:val="ListBullet"/>
      </w:pPr>
      <w:r>
        <w:rPr>
          <w:rFonts w:ascii="Calibri" w:hAnsi="Calibri"/>
          <w:color w:val="1D2630"/>
        </w:rPr>
        <w:t>GO conditionnel si le besoin est pertinent mais la contractualisation n'est pas encore clarifiée.</w:t>
      </w:r>
    </w:p>
    <w:p>
      <w:pPr>
        <w:pStyle w:val="ListBullet"/>
      </w:pPr>
      <w:r>
        <w:rPr>
          <w:rFonts w:ascii="Calibri" w:hAnsi="Calibri"/>
          <w:color w:val="1D2630"/>
        </w:rPr>
        <w:t>NO GO si le TJM ne permet pas une marge acceptable, si la localisation est incompatible ou si l'expertise critique est absente.</w:t>
      </w:r>
    </w:p>
    <w:p>
      <w:pPr>
        <w:pStyle w:val="ListBullet"/>
      </w:pPr>
      <w:r>
        <w:rPr>
          <w:rFonts w:ascii="Calibri" w:hAnsi="Calibri"/>
          <w:color w:val="1D2630"/>
        </w:rPr>
        <w:t>NO GO si Tilencia ne peut pas démontrer une valeur complémentaire aux partenaires déjà en place.</w:t>
      </w:r>
    </w:p>
    <w:p>
      <w:pPr>
        <w:pStyle w:val="Heading1"/>
      </w:pPr>
      <w:r>
        <w:t>12. Points à vérifier et sources</w:t>
      </w:r>
    </w:p>
    <w:p>
      <w:pPr>
        <w:pStyle w:val="Heading2"/>
      </w:pPr>
      <w:r>
        <w:t>12.1 Points à vérifier lors des premiers échanges</w:t>
      </w:r>
    </w:p>
    <w:p>
      <w:pPr>
        <w:pStyle w:val="ListBullet"/>
      </w:pPr>
      <w:r>
        <w:rPr>
          <w:rFonts w:ascii="Calibri" w:hAnsi="Calibri"/>
          <w:color w:val="1D2630"/>
        </w:rPr>
        <w:t>À vérifier : Calendrier exact des vagues KN SwiftLOG / Blue Yonder en France.</w:t>
      </w:r>
    </w:p>
    <w:p>
      <w:pPr>
        <w:pStyle w:val="ListBullet"/>
      </w:pPr>
      <w:r>
        <w:rPr>
          <w:rFonts w:ascii="Calibri" w:hAnsi="Calibri"/>
          <w:color w:val="1D2630"/>
        </w:rPr>
        <w:t>À vérifier : Liste des sites français concernés en 2026 et 2027.</w:t>
      </w:r>
    </w:p>
    <w:p>
      <w:pPr>
        <w:pStyle w:val="ListBullet"/>
      </w:pPr>
      <w:r>
        <w:rPr>
          <w:rFonts w:ascii="Calibri" w:hAnsi="Calibri"/>
          <w:color w:val="1D2630"/>
        </w:rPr>
        <w:t>À vérifier : Répartition des responsabilités entre équipe globale, IT France, Blue Yonder et intégrateurs.</w:t>
      </w:r>
    </w:p>
    <w:p>
      <w:pPr>
        <w:pStyle w:val="ListBullet"/>
      </w:pPr>
      <w:r>
        <w:rPr>
          <w:rFonts w:ascii="Calibri" w:hAnsi="Calibri"/>
          <w:color w:val="1D2630"/>
        </w:rPr>
        <w:t>À vérifier : Existence d'un MSP, d'un panel ESN ou d'une plateforme de freelances.</w:t>
      </w:r>
    </w:p>
    <w:p>
      <w:pPr>
        <w:pStyle w:val="ListBullet"/>
      </w:pPr>
      <w:r>
        <w:rPr>
          <w:rFonts w:ascii="Calibri" w:hAnsi="Calibri"/>
          <w:color w:val="1D2630"/>
        </w:rPr>
        <w:t>À vérifier : Possibilité d'un référencement direct de Tilencia et niveau de décision France/global.</w:t>
      </w:r>
    </w:p>
    <w:p>
      <w:pPr>
        <w:pStyle w:val="ListBullet"/>
      </w:pPr>
      <w:r>
        <w:rPr>
          <w:rFonts w:ascii="Calibri" w:hAnsi="Calibri"/>
          <w:color w:val="1D2630"/>
        </w:rPr>
        <w:t>À vérifier : Grille de TJM par profil, contraintes de marge et conditions de paiement.</w:t>
      </w:r>
    </w:p>
    <w:p>
      <w:pPr>
        <w:pStyle w:val="ListBullet"/>
      </w:pPr>
      <w:r>
        <w:rPr>
          <w:rFonts w:ascii="Calibri" w:hAnsi="Calibri"/>
          <w:color w:val="1D2630"/>
        </w:rPr>
        <w:t>À vérifier : Technologies complémentaires : middleware, API management, cloud, observabilité, ITSM et cybersécurité.</w:t>
      </w:r>
    </w:p>
    <w:p>
      <w:pPr>
        <w:pStyle w:val="ListBullet"/>
      </w:pPr>
      <w:r>
        <w:rPr>
          <w:rFonts w:ascii="Calibri" w:hAnsi="Calibri"/>
          <w:color w:val="1D2630"/>
        </w:rPr>
        <w:t>À vérifier : Adresses email et numéros professionnels des décideurs, après vérification.</w:t>
      </w:r>
    </w:p>
    <w:p>
      <w:pPr>
        <w:pStyle w:val="ListBullet"/>
      </w:pPr>
      <w:r>
        <w:rPr>
          <w:rFonts w:ascii="Calibri" w:hAnsi="Calibri"/>
          <w:color w:val="1D2630"/>
        </w:rPr>
        <w:t>À vérifier : Besoins à court, moyen et long termes afin de constituer le vivier préventif.</w:t>
      </w:r>
    </w:p>
    <w:p>
      <w:pPr>
        <w:pStyle w:val="Heading2"/>
      </w:pPr>
      <w:r>
        <w:t>12.2 Sources principales</w:t>
      </w:r>
    </w:p>
    <w:p>
      <w:pPr>
        <w:pStyle w:val="ListBullet"/>
      </w:pPr>
      <w:hyperlink r:id="rId18">
        <w:r>
          <w:rPr>
            <w:color w:val="2E74B5"/>
            <w:u w:val="single"/>
            <w:rFonts w:ascii="Calibri" w:hAnsi="Calibri"/>
          </w:rPr>
          <w:t>Kuehne+Nagel - Déploiement cloud native de KN SwiftLOG / Blue Yonder, 16 juillet 2026</w:t>
        </w:r>
      </w:hyperlink>
    </w:p>
    <w:p>
      <w:pPr>
        <w:pStyle w:val="ListBullet"/>
      </w:pPr>
      <w:hyperlink r:id="rId19">
        <w:r>
          <w:rPr>
            <w:color w:val="2E74B5"/>
            <w:u w:val="single"/>
            <w:rFonts w:ascii="Calibri" w:hAnsi="Calibri"/>
          </w:rPr>
          <w:t>Rapport annuel Kuehne+Nagel 2025 - Interview du CEO et Digital Ecosystem</w:t>
        </w:r>
      </w:hyperlink>
    </w:p>
    <w:p>
      <w:pPr>
        <w:pStyle w:val="ListBullet"/>
      </w:pPr>
      <w:hyperlink r:id="rId20">
        <w:r>
          <w:rPr>
            <w:color w:val="2E74B5"/>
            <w:u w:val="single"/>
            <w:rFonts w:ascii="Calibri" w:hAnsi="Calibri"/>
          </w:rPr>
          <w:t>Voxlog - Entretien avec Guillaume Péard, président France et Maghreb</w:t>
        </w:r>
      </w:hyperlink>
    </w:p>
    <w:p>
      <w:pPr>
        <w:pStyle w:val="ListBullet"/>
      </w:pPr>
      <w:hyperlink r:id="rId21">
        <w:r>
          <w:rPr>
            <w:color w:val="2E74B5"/>
            <w:u w:val="single"/>
            <w:rFonts w:ascii="Calibri" w:hAnsi="Calibri"/>
          </w:rPr>
          <w:t>Pappers - Kuehne+Nagel SAS France, données légales et financières</w:t>
        </w:r>
      </w:hyperlink>
    </w:p>
    <w:p>
      <w:pPr>
        <w:pStyle w:val="ListBullet"/>
      </w:pPr>
      <w:hyperlink r:id="rId22">
        <w:r>
          <w:rPr>
            <w:color w:val="2E74B5"/>
            <w:u w:val="single"/>
            <w:rFonts w:ascii="Calibri" w:hAnsi="Calibri"/>
          </w:rPr>
          <w:t>Kuehne+Nagel - Métiers Information Technology</w:t>
        </w:r>
      </w:hyperlink>
    </w:p>
    <w:p>
      <w:pPr>
        <w:pStyle w:val="ListBullet"/>
      </w:pPr>
      <w:hyperlink r:id="rId23">
        <w:r>
          <w:rPr>
            <w:color w:val="2E74B5"/>
            <w:u w:val="single"/>
            <w:rFonts w:ascii="Calibri" w:hAnsi="Calibri"/>
          </w:rPr>
          <w:t>Kuehne+Nagel - Partenariat stratégique avec Capgemini</w:t>
        </w:r>
      </w:hyperlink>
    </w:p>
    <w:p>
      <w:pPr>
        <w:pStyle w:val="ListBullet"/>
      </w:pPr>
      <w:hyperlink r:id="rId24">
        <w:r>
          <w:rPr>
            <w:color w:val="2E74B5"/>
            <w:u w:val="single"/>
            <w:rFonts w:ascii="Calibri" w:hAnsi="Calibri"/>
          </w:rPr>
          <w:t>Kuehne+Nagel - Portail Vendor Management</w:t>
        </w:r>
      </w:hyperlink>
    </w:p>
    <w:p>
      <w:pPr>
        <w:pStyle w:val="Heading2"/>
      </w:pPr>
      <w:r>
        <w:t>12.3 Limites de l'analyse</w:t>
      </w:r>
    </w:p>
    <w:p>
      <w:r>
        <w:rPr>
          <w:rFonts w:ascii="Calibri" w:hAnsi="Calibri"/>
          <w:color w:val="1D2630"/>
        </w:rPr>
        <w:t>La cartographie repose sur des informations publiques disponibles au 26 août 2026. Certaines fonctions, coordonnées, implantations et données financières peuvent évoluer. Les besoins, budgets, panels fournisseurs, calendriers de déploiement et grilles tarifaires ne sont pas publics et doivent être confirmés directement avec Kuehne+Nagel.</w:t>
      </w:r>
    </w:p>
    <w:tbl>
      <w:tblPr>
        <w:tblW w:type="dxa" w:w="9360"/>
        <w:jc w:val="left"/>
        <w:tblLayout w:type="fixed"/>
        <w:tblLook w:firstColumn="1" w:firstRow="1" w:lastColumn="0" w:lastRow="0" w:noHBand="0" w:noVBand="1" w:val="04A0"/>
        <w:tblInd w:type="dxa" w:w="180"/>
      </w:tblPr>
      <w:tblGrid>
        <w:gridCol w:w="9360"/>
      </w:tblGrid>
      <w:tr>
        <w:trPr>
          <w:cantSplit/>
        </w:trPr>
        <w:tc>
          <w:tcPr>
            <w:tcW w:type="dxa" w:w="9360"/>
            <w:shd w:fill="E8EEF5"/>
            <w:tcBorders>
              <w:top w:val="nil"/>
              <w:left w:val="single" w:sz="20" w:color="0B7285"/>
              <w:bottom w:val="nil"/>
              <w:right w:val="nil"/>
            </w:tcBorders>
            <w:tcMar>
              <w:top w:w="120" w:type="dxa"/>
              <w:bottom w:w="120" w:type="dxa"/>
              <w:start w:w="180" w:type="dxa"/>
              <w:end w:w="180" w:type="dxa"/>
            </w:tcMar>
          </w:tcPr>
          <w:p>
            <w:pPr>
              <w:spacing w:before="60" w:after="60"/>
            </w:pPr>
            <w:r>
              <w:rPr>
                <w:rFonts w:ascii="Calibri" w:hAnsi="Calibri"/>
                <w:b/>
                <w:color w:val="0B7285"/>
              </w:rPr>
              <w:t xml:space="preserve">Prochaine action recommandée. </w:t>
            </w:r>
            <w:r>
              <w:rPr>
                <w:rFonts w:ascii="Calibri" w:hAnsi="Calibri"/>
                <w:color w:val="1D2630"/>
              </w:rPr>
              <w:t>Valider la répartition interne Tilencia, enrichir les coordonnées des trois contacts prioritaires, finaliser un support de rendez-vous de deux pages et lancer la première séquence de prospection IT dans les cinq jours ouvrés.</w:t>
            </w:r>
          </w:p>
        </w:tc>
      </w:tr>
    </w:tbl>
    <w:p>
      <w:pPr>
        <w:spacing w:after="0"/>
      </w:pPr>
    </w:p>
    <w:sectPr w:rsidR="00FC693F" w:rsidRPr="0006063C" w:rsidSect="00034616">
      <w:headerReference w:type="default" r:id="rId25"/>
      <w:footerReference w:type="default" r:id="rId26"/>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jc w:val="right"/>
    </w:pPr>
    <w:r>
      <w:rPr>
        <w:rFonts w:ascii="Calibri" w:hAnsi="Calibri"/>
        <w:color w:val="5B6573"/>
        <w:sz w:val="16"/>
      </w:rPr>
      <w:t xml:space="preserve">Confidentiel - Usage interne Tilencia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80"/>
      <w:jc w:val="left"/>
      <w:pBdr>
        <w:bottom w:val="single" w:sz="4" w:space="2" w:color="D7DBE2"/>
      </w:pBdr>
    </w:pPr>
    <w:r>
      <w:rPr>
        <w:rFonts w:ascii="Calibri" w:hAnsi="Calibri"/>
        <w:b/>
        <w:color w:val="5B6573"/>
        <w:sz w:val="17"/>
      </w:rPr>
      <w:t>TILENCIA  |  PLAN DE COMPTE KUEHNE+NAGEL FRANCE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1D26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b/>
      <w:color w:val="0B2545"/>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60"/>
    </w:pPr>
    <w:rPr>
      <w:rFonts w:asciiTheme="majorHAnsi" w:eastAsiaTheme="majorEastAsia" w:hAnsiTheme="majorHAnsi" w:cstheme="majorBidi" w:ascii="Calibri" w:hAnsi="Calibri"/>
      <w:b w:val="0"/>
      <w:i/>
      <w:iCs/>
      <w:color w:val="5B6573"/>
      <w:spacing w:val="15"/>
      <w:sz w:val="27"/>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line="240" w:lineRule="auto"/>
    </w:pPr>
    <w:rPr>
      <w:rFonts w:ascii="Calibri" w:hAnsi="Calibri"/>
      <w:color w:val="5B6573"/>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fr.linkedin.com/in/bruno-mahier-8061194" TargetMode="External"/><Relationship Id="rId10" Type="http://schemas.openxmlformats.org/officeDocument/2006/relationships/hyperlink" Target="https://fr.linkedin.com/in/anne-courrier-49a7a74" TargetMode="External"/><Relationship Id="rId11" Type="http://schemas.openxmlformats.org/officeDocument/2006/relationships/hyperlink" Target="https://fr.linkedin.com/in/frederic-d-9a67a493" TargetMode="External"/><Relationship Id="rId12" Type="http://schemas.openxmlformats.org/officeDocument/2006/relationships/hyperlink" Target="https://fr.linkedin.com/in/valentincouchut" TargetMode="External"/><Relationship Id="rId13" Type="http://schemas.openxmlformats.org/officeDocument/2006/relationships/hyperlink" Target="https://de.linkedin.com/in/chevallierjulie/fr" TargetMode="External"/><Relationship Id="rId14" Type="http://schemas.openxmlformats.org/officeDocument/2006/relationships/hyperlink" Target="https://fr.linkedin.com/in/quentin-janin-545733174" TargetMode="External"/><Relationship Id="rId15" Type="http://schemas.openxmlformats.org/officeDocument/2006/relationships/hyperlink" Target="https://fr.linkedin.com/in/leo-laguerre" TargetMode="External"/><Relationship Id="rId16" Type="http://schemas.openxmlformats.org/officeDocument/2006/relationships/hyperlink" Target="https://fr.linkedin.com/in/guillaume-p%C3%A9ard-9010989b" TargetMode="External"/><Relationship Id="rId17" Type="http://schemas.openxmlformats.org/officeDocument/2006/relationships/hyperlink" Target="https://fr.linkedin.com/in/yevgen-derkach" TargetMode="External"/><Relationship Id="rId18" Type="http://schemas.openxmlformats.org/officeDocument/2006/relationships/hyperlink" Target="https://newsroom.kuehne-nagel.com/kuehnenagel-rolls-out-cloud-native-contract-logistics-solution-across-over-1000-sites-globally/" TargetMode="External"/><Relationship Id="rId19" Type="http://schemas.openxmlformats.org/officeDocument/2006/relationships/hyperlink" Target="https://2025-annual-report.kuehne-nagel.com/corporate-brochure/english/interview-with-the-ceo" TargetMode="External"/><Relationship Id="rId20" Type="http://schemas.openxmlformats.org/officeDocument/2006/relationships/hyperlink" Target="https://www.voxlog.fr/actualite/9245/entretien-exclusif-avec-guillaume-peard-president-de-kuehne-nagel-france-et-maghreb" TargetMode="External"/><Relationship Id="rId21" Type="http://schemas.openxmlformats.org/officeDocument/2006/relationships/hyperlink" Target="https://www.pappers.fr/entreprise/kuehnenagel-333583466" TargetMode="External"/><Relationship Id="rId22" Type="http://schemas.openxmlformats.org/officeDocument/2006/relationships/hyperlink" Target="https://jobs.kuehne-nagel.com/global/en/information-technology-global" TargetMode="External"/><Relationship Id="rId23" Type="http://schemas.openxmlformats.org/officeDocument/2006/relationships/hyperlink" Target="https://newsroom.kuehne-nagel.com/kuehnenagel-and-capgemini-agree-to-join-forces-to-deliver-an-end-to-end-supply-chain-capability/" TargetMode="External"/><Relationship Id="rId24" Type="http://schemas.openxmlformats.org/officeDocument/2006/relationships/hyperlink" Target="https://knvm.kuehne-nagel.com/" TargetMode="External"/><Relationship Id="rId25" Type="http://schemas.openxmlformats.org/officeDocument/2006/relationships/header" Target="header1.xm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compte Kuehne+Nagel France - Tilencia</dc:title>
  <dc:subject>Stratégie de pénétration commerciale et plan d'actions 2026-2027</dc:subject>
  <dc:creator>Tilencia</dc:creator>
  <cp:keywords>Kuehne+Nagel, Tilencia, plan de compte, WMS, Blue Yonder, EDI, data, IT</cp:keywords>
  <dc:description>generated by python-docx</dc:description>
  <cp:lastModifiedBy/>
  <cp:revision>1</cp:revision>
  <dcterms:created xsi:type="dcterms:W3CDTF">2013-12-23T23:15:00Z</dcterms:created>
  <dcterms:modified xsi:type="dcterms:W3CDTF">2013-12-23T23:15:00Z</dcterms:modified>
  <cp:category/>
</cp:coreProperties>
</file>