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C1D74"/>
          <w:sz w:val="52"/>
        </w:rPr>
        <w:t>AGIRC-ARRCO</w:t>
      </w:r>
    </w:p>
    <w:p>
      <w:pPr>
        <w:jc w:val="center"/>
      </w:pPr>
      <w:r>
        <w:rPr>
          <w:b/>
          <w:color w:val="4B0F4F"/>
          <w:sz w:val="36"/>
        </w:rPr>
        <w:t>Contexte d’activité 2026-2027</w:t>
        <w:br/>
        <w:t>Projets stratégiques, actualités et angles d’approche DSI</w:t>
      </w:r>
    </w:p>
    <w:p>
      <w:pPr>
        <w:jc w:val="center"/>
      </w:pPr>
      <w:r>
        <w:rPr>
          <w:i/>
          <w:sz w:val="20"/>
        </w:rPr>
        <w:t>Document de travail pour préparer des échanges avec les services informatiques Agirc-Arrco : DSI-RC, DTI, DRCP, CNRI et équipes transverses.</w:t>
      </w:r>
    </w:p>
    <w:tbl>
      <w:tblPr>
        <w:tblW w:type="auto" w:w="0"/>
        <w:jc w:val="center"/>
        <w:tblLook w:firstColumn="1" w:firstRow="1" w:lastColumn="0" w:lastRow="0" w:noHBand="0" w:noVBand="1" w:val="04A0"/>
      </w:tblPr>
      <w:tblGrid>
        <w:gridCol w:w="10426"/>
      </w:tblGrid>
      <w:tr>
        <w:tc>
          <w:tcPr>
            <w:tcW w:type="dxa" w:w="10426"/>
            <w:shd w:fill="FDECE5"/>
            <w:tcBorders>
              <w:top w:sz="12" w:val="single" w:color="F2673A"/>
              <w:left w:sz="12" w:val="single" w:color="F2673A"/>
              <w:bottom w:sz="12" w:val="single" w:color="F2673A"/>
              <w:right w:sz="12" w:val="single" w:color="F2673A"/>
            </w:tcBorders>
            <w:tcMar>
              <w:top w:w="160" w:type="dxa"/>
              <w:start w:w="160" w:type="dxa"/>
              <w:bottom w:w="160" w:type="dxa"/>
              <w:end w:w="160" w:type="dxa"/>
            </w:tcMar>
            <w:vAlign w:val="top"/>
          </w:tcPr>
          <w:p>
            <w:r>
              <w:rPr>
                <w:rFonts w:ascii="Arial" w:hAnsi="Arial" w:eastAsia="Arial"/>
                <w:b/>
                <w:color w:val="4B0F4F"/>
                <w:sz w:val="22"/>
              </w:rPr>
              <w:t>Objectif du document</w:t>
            </w:r>
          </w:p>
          <w:p>
            <w:r>
              <w:rPr>
                <w:rFonts w:ascii="Arial" w:hAnsi="Arial" w:eastAsia="Arial"/>
                <w:sz w:val="18"/>
              </w:rPr>
              <w:t>Identifier les sujets chauds 2026-2027, les grands programmes SI, les signaux d’actualité et les accroches concrètes permettant d’ouvrir un échange crédible avec les interlocuteurs informatiques du régime.</w:t>
            </w:r>
          </w:p>
        </w:tc>
      </w:tr>
    </w:tbl>
    <w:p/>
    <w:p>
      <w:pPr>
        <w:jc w:val="center"/>
      </w:pPr>
      <w:r>
        <w:rPr>
          <w:color w:val="666666"/>
          <w:sz w:val="20"/>
        </w:rPr>
        <w:t>Version de travail - juillet 2026</w:t>
      </w:r>
    </w:p>
    <w:p>
      <w:r>
        <w:br w:type="page"/>
      </w:r>
    </w:p>
    <w:p>
      <w:pPr>
        <w:jc w:val="left"/>
      </w:pPr>
      <w:r>
        <w:rPr>
          <w:b/>
          <w:color w:val="6C1D74"/>
          <w:sz w:val="36"/>
        </w:rPr>
        <w:t>0. Sommaire opérationnel</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900"/>
            <w:shd w:fill="6C1D74"/>
            <w:tcMar>
              <w:top w:w="90" w:type="dxa"/>
              <w:start w:w="90" w:type="dxa"/>
              <w:bottom w:w="90" w:type="dxa"/>
              <w:end w:w="90" w:type="dxa"/>
            </w:tcMar>
            <w:vAlign w:val="top"/>
          </w:tcPr>
          <w:p>
            <w:pPr>
              <w:jc w:val="center"/>
            </w:pPr>
            <w:r>
              <w:rPr>
                <w:rFonts w:ascii="Arial" w:hAnsi="Arial" w:eastAsia="Arial"/>
                <w:b/>
                <w:color w:val="FFFFFF"/>
                <w:sz w:val="17"/>
              </w:rPr>
              <w:t>Partie</w:t>
            </w:r>
          </w:p>
        </w:tc>
        <w:tc>
          <w:tcPr>
            <w:tcW w:type="dxa" w:w="2500"/>
            <w:shd w:fill="6C1D74"/>
            <w:tcMar>
              <w:top w:w="90" w:type="dxa"/>
              <w:start w:w="90" w:type="dxa"/>
              <w:bottom w:w="90" w:type="dxa"/>
              <w:end w:w="90" w:type="dxa"/>
            </w:tcMar>
            <w:vAlign w:val="top"/>
          </w:tcPr>
          <w:p>
            <w:pPr>
              <w:jc w:val="center"/>
            </w:pPr>
            <w:r>
              <w:rPr>
                <w:rFonts w:ascii="Arial" w:hAnsi="Arial" w:eastAsia="Arial"/>
                <w:b/>
                <w:color w:val="FFFFFF"/>
                <w:sz w:val="17"/>
              </w:rPr>
              <w:t>Titre</w:t>
            </w:r>
          </w:p>
        </w:tc>
        <w:tc>
          <w:tcPr>
            <w:tcW w:type="dxa" w:w="5000"/>
            <w:shd w:fill="6C1D74"/>
            <w:tcMar>
              <w:top w:w="90" w:type="dxa"/>
              <w:start w:w="90" w:type="dxa"/>
              <w:bottom w:w="90" w:type="dxa"/>
              <w:end w:w="90" w:type="dxa"/>
            </w:tcMar>
            <w:vAlign w:val="top"/>
          </w:tcPr>
          <w:p>
            <w:pPr>
              <w:jc w:val="center"/>
            </w:pPr>
            <w:r>
              <w:rPr>
                <w:rFonts w:ascii="Arial" w:hAnsi="Arial" w:eastAsia="Arial"/>
                <w:b/>
                <w:color w:val="FFFFFF"/>
                <w:sz w:val="17"/>
              </w:rPr>
              <w:t>Utilité</w:t>
            </w:r>
          </w:p>
        </w:tc>
      </w:tr>
      <w:tr>
        <w:tc>
          <w:tcPr>
            <w:tcW w:type="dxa" w:w="900"/>
            <w:shd w:fill="FFFFFF"/>
            <w:tcMar>
              <w:top w:w="80" w:type="dxa"/>
              <w:start w:w="80" w:type="dxa"/>
              <w:bottom w:w="80" w:type="dxa"/>
              <w:end w:w="80" w:type="dxa"/>
            </w:tcMar>
            <w:vAlign w:val="top"/>
          </w:tcPr>
          <w:p>
            <w:r>
              <w:rPr>
                <w:rFonts w:ascii="Arial" w:hAnsi="Arial" w:eastAsia="Arial"/>
                <w:b/>
                <w:color w:val="4B0F4F"/>
                <w:sz w:val="17"/>
              </w:rPr>
              <w:t>1</w:t>
            </w:r>
          </w:p>
        </w:tc>
        <w:tc>
          <w:tcPr>
            <w:tcW w:type="dxa" w:w="2500"/>
            <w:shd w:fill="FFFFFF"/>
            <w:tcMar>
              <w:top w:w="80" w:type="dxa"/>
              <w:start w:w="80" w:type="dxa"/>
              <w:bottom w:w="80" w:type="dxa"/>
              <w:end w:w="80" w:type="dxa"/>
            </w:tcMar>
            <w:vAlign w:val="top"/>
          </w:tcPr>
          <w:p>
            <w:r>
              <w:rPr>
                <w:rFonts w:ascii="Arial" w:hAnsi="Arial" w:eastAsia="Arial"/>
                <w:sz w:val="17"/>
              </w:rPr>
              <w:t>Synthèse exécutive</w:t>
            </w:r>
          </w:p>
        </w:tc>
        <w:tc>
          <w:tcPr>
            <w:tcW w:type="dxa" w:w="5000"/>
            <w:shd w:fill="FFFFFF"/>
            <w:tcMar>
              <w:top w:w="80" w:type="dxa"/>
              <w:start w:w="80" w:type="dxa"/>
              <w:bottom w:w="80" w:type="dxa"/>
              <w:end w:w="80" w:type="dxa"/>
            </w:tcMar>
            <w:vAlign w:val="top"/>
          </w:tcPr>
          <w:p>
            <w:r>
              <w:rPr>
                <w:rFonts w:ascii="Arial" w:hAnsi="Arial" w:eastAsia="Arial"/>
                <w:sz w:val="17"/>
              </w:rPr>
              <w:t>Ce qu’il faut retenir en 2 minutes.</w:t>
            </w:r>
          </w:p>
        </w:tc>
      </w:tr>
      <w:tr>
        <w:tc>
          <w:tcPr>
            <w:tcW w:type="dxa" w:w="900"/>
            <w:shd w:fill="F3F4F6"/>
            <w:tcMar>
              <w:top w:w="80" w:type="dxa"/>
              <w:start w:w="80" w:type="dxa"/>
              <w:bottom w:w="80" w:type="dxa"/>
              <w:end w:w="80" w:type="dxa"/>
            </w:tcMar>
            <w:vAlign w:val="top"/>
          </w:tcPr>
          <w:p>
            <w:r>
              <w:rPr>
                <w:rFonts w:ascii="Arial" w:hAnsi="Arial" w:eastAsia="Arial"/>
                <w:b/>
                <w:color w:val="4B0F4F"/>
                <w:sz w:val="17"/>
              </w:rPr>
              <w:t>2</w:t>
            </w:r>
          </w:p>
        </w:tc>
        <w:tc>
          <w:tcPr>
            <w:tcW w:type="dxa" w:w="2500"/>
            <w:shd w:fill="F3F4F6"/>
            <w:tcMar>
              <w:top w:w="80" w:type="dxa"/>
              <w:start w:w="80" w:type="dxa"/>
              <w:bottom w:w="80" w:type="dxa"/>
              <w:end w:w="80" w:type="dxa"/>
            </w:tcMar>
            <w:vAlign w:val="top"/>
          </w:tcPr>
          <w:p>
            <w:r>
              <w:rPr>
                <w:rFonts w:ascii="Arial" w:hAnsi="Arial" w:eastAsia="Arial"/>
                <w:sz w:val="17"/>
              </w:rPr>
              <w:t>Contexte institutionnel et activité 2026</w:t>
            </w:r>
          </w:p>
        </w:tc>
        <w:tc>
          <w:tcPr>
            <w:tcW w:type="dxa" w:w="5000"/>
            <w:shd w:fill="F3F4F6"/>
            <w:tcMar>
              <w:top w:w="80" w:type="dxa"/>
              <w:start w:w="80" w:type="dxa"/>
              <w:bottom w:w="80" w:type="dxa"/>
              <w:end w:w="80" w:type="dxa"/>
            </w:tcMar>
            <w:vAlign w:val="top"/>
          </w:tcPr>
          <w:p>
            <w:r>
              <w:rPr>
                <w:rFonts w:ascii="Arial" w:hAnsi="Arial" w:eastAsia="Arial"/>
                <w:sz w:val="17"/>
              </w:rPr>
              <w:t>Pourquoi 2026 est une année de bascule : équilibre financier, pression de service, fin de COM.</w:t>
            </w:r>
          </w:p>
        </w:tc>
      </w:tr>
      <w:tr>
        <w:tc>
          <w:tcPr>
            <w:tcW w:type="dxa" w:w="900"/>
            <w:shd w:fill="FFFFFF"/>
            <w:tcMar>
              <w:top w:w="80" w:type="dxa"/>
              <w:start w:w="80" w:type="dxa"/>
              <w:bottom w:w="80" w:type="dxa"/>
              <w:end w:w="80" w:type="dxa"/>
            </w:tcMar>
            <w:vAlign w:val="top"/>
          </w:tcPr>
          <w:p>
            <w:r>
              <w:rPr>
                <w:rFonts w:ascii="Arial" w:hAnsi="Arial" w:eastAsia="Arial"/>
                <w:b/>
                <w:color w:val="4B0F4F"/>
                <w:sz w:val="17"/>
              </w:rPr>
              <w:t>3</w:t>
            </w:r>
          </w:p>
        </w:tc>
        <w:tc>
          <w:tcPr>
            <w:tcW w:type="dxa" w:w="2500"/>
            <w:shd w:fill="FFFFFF"/>
            <w:tcMar>
              <w:top w:w="80" w:type="dxa"/>
              <w:start w:w="80" w:type="dxa"/>
              <w:bottom w:w="80" w:type="dxa"/>
              <w:end w:w="80" w:type="dxa"/>
            </w:tcMar>
            <w:vAlign w:val="top"/>
          </w:tcPr>
          <w:p>
            <w:r>
              <w:rPr>
                <w:rFonts w:ascii="Arial" w:hAnsi="Arial" w:eastAsia="Arial"/>
                <w:sz w:val="17"/>
              </w:rPr>
              <w:t>Feuille de route SI 2026-2027</w:t>
            </w:r>
          </w:p>
        </w:tc>
        <w:tc>
          <w:tcPr>
            <w:tcW w:type="dxa" w:w="5000"/>
            <w:shd w:fill="FFFFFF"/>
            <w:tcMar>
              <w:top w:w="80" w:type="dxa"/>
              <w:start w:w="80" w:type="dxa"/>
              <w:bottom w:w="80" w:type="dxa"/>
              <w:end w:w="80" w:type="dxa"/>
            </w:tcMar>
            <w:vAlign w:val="top"/>
          </w:tcPr>
          <w:p>
            <w:r>
              <w:rPr>
                <w:rFonts w:ascii="Arial" w:hAnsi="Arial" w:eastAsia="Arial"/>
                <w:sz w:val="17"/>
              </w:rPr>
              <w:t>PTSI finalisé, RéSIlience, SMI2, souveraineté, data, IA.</w:t>
            </w:r>
          </w:p>
        </w:tc>
      </w:tr>
      <w:tr>
        <w:tc>
          <w:tcPr>
            <w:tcW w:type="dxa" w:w="900"/>
            <w:shd w:fill="F3F4F6"/>
            <w:tcMar>
              <w:top w:w="80" w:type="dxa"/>
              <w:start w:w="80" w:type="dxa"/>
              <w:bottom w:w="80" w:type="dxa"/>
              <w:end w:w="80" w:type="dxa"/>
            </w:tcMar>
            <w:vAlign w:val="top"/>
          </w:tcPr>
          <w:p>
            <w:r>
              <w:rPr>
                <w:rFonts w:ascii="Arial" w:hAnsi="Arial" w:eastAsia="Arial"/>
                <w:b/>
                <w:color w:val="4B0F4F"/>
                <w:sz w:val="17"/>
              </w:rPr>
              <w:t>4</w:t>
            </w:r>
          </w:p>
        </w:tc>
        <w:tc>
          <w:tcPr>
            <w:tcW w:type="dxa" w:w="2500"/>
            <w:shd w:fill="F3F4F6"/>
            <w:tcMar>
              <w:top w:w="80" w:type="dxa"/>
              <w:start w:w="80" w:type="dxa"/>
              <w:bottom w:w="80" w:type="dxa"/>
              <w:end w:w="80" w:type="dxa"/>
            </w:tcMar>
            <w:vAlign w:val="top"/>
          </w:tcPr>
          <w:p>
            <w:r>
              <w:rPr>
                <w:rFonts w:ascii="Arial" w:hAnsi="Arial" w:eastAsia="Arial"/>
                <w:sz w:val="17"/>
              </w:rPr>
              <w:t>Traduction par entité informatique</w:t>
            </w:r>
          </w:p>
        </w:tc>
        <w:tc>
          <w:tcPr>
            <w:tcW w:type="dxa" w:w="5000"/>
            <w:shd w:fill="F3F4F6"/>
            <w:tcMar>
              <w:top w:w="80" w:type="dxa"/>
              <w:start w:w="80" w:type="dxa"/>
              <w:bottom w:w="80" w:type="dxa"/>
              <w:end w:w="80" w:type="dxa"/>
            </w:tcMar>
            <w:vAlign w:val="top"/>
          </w:tcPr>
          <w:p>
            <w:r>
              <w:rPr>
                <w:rFonts w:ascii="Arial" w:hAnsi="Arial" w:eastAsia="Arial"/>
                <w:sz w:val="17"/>
              </w:rPr>
              <w:t>Lecture DTI / DRCP / CNRI et sujets à adresser.</w:t>
            </w:r>
          </w:p>
        </w:tc>
      </w:tr>
      <w:tr>
        <w:tc>
          <w:tcPr>
            <w:tcW w:type="dxa" w:w="900"/>
            <w:shd w:fill="FFFFFF"/>
            <w:tcMar>
              <w:top w:w="80" w:type="dxa"/>
              <w:start w:w="80" w:type="dxa"/>
              <w:bottom w:w="80" w:type="dxa"/>
              <w:end w:w="80" w:type="dxa"/>
            </w:tcMar>
            <w:vAlign w:val="top"/>
          </w:tcPr>
          <w:p>
            <w:r>
              <w:rPr>
                <w:rFonts w:ascii="Arial" w:hAnsi="Arial" w:eastAsia="Arial"/>
                <w:b/>
                <w:color w:val="4B0F4F"/>
                <w:sz w:val="17"/>
              </w:rPr>
              <w:t>5</w:t>
            </w:r>
          </w:p>
        </w:tc>
        <w:tc>
          <w:tcPr>
            <w:tcW w:type="dxa" w:w="2500"/>
            <w:shd w:fill="FFFFFF"/>
            <w:tcMar>
              <w:top w:w="80" w:type="dxa"/>
              <w:start w:w="80" w:type="dxa"/>
              <w:bottom w:w="80" w:type="dxa"/>
              <w:end w:w="80" w:type="dxa"/>
            </w:tcMar>
            <w:vAlign w:val="top"/>
          </w:tcPr>
          <w:p>
            <w:r>
              <w:rPr>
                <w:rFonts w:ascii="Arial" w:hAnsi="Arial" w:eastAsia="Arial"/>
                <w:sz w:val="17"/>
              </w:rPr>
              <w:t>Actualités et signaux faibles à exploiter</w:t>
            </w:r>
          </w:p>
        </w:tc>
        <w:tc>
          <w:tcPr>
            <w:tcW w:type="dxa" w:w="5000"/>
            <w:shd w:fill="FFFFFF"/>
            <w:tcMar>
              <w:top w:w="80" w:type="dxa"/>
              <w:start w:w="80" w:type="dxa"/>
              <w:bottom w:w="80" w:type="dxa"/>
              <w:end w:w="80" w:type="dxa"/>
            </w:tcMar>
            <w:vAlign w:val="top"/>
          </w:tcPr>
          <w:p>
            <w:r>
              <w:rPr>
                <w:rFonts w:ascii="Arial" w:hAnsi="Arial" w:eastAsia="Arial"/>
                <w:sz w:val="17"/>
              </w:rPr>
              <w:t>News, réglementaire, relation client, fraude, inter-régimes.</w:t>
            </w:r>
          </w:p>
        </w:tc>
      </w:tr>
      <w:tr>
        <w:tc>
          <w:tcPr>
            <w:tcW w:type="dxa" w:w="900"/>
            <w:shd w:fill="F3F4F6"/>
            <w:tcMar>
              <w:top w:w="80" w:type="dxa"/>
              <w:start w:w="80" w:type="dxa"/>
              <w:bottom w:w="80" w:type="dxa"/>
              <w:end w:w="80" w:type="dxa"/>
            </w:tcMar>
            <w:vAlign w:val="top"/>
          </w:tcPr>
          <w:p>
            <w:r>
              <w:rPr>
                <w:rFonts w:ascii="Arial" w:hAnsi="Arial" w:eastAsia="Arial"/>
                <w:b/>
                <w:color w:val="4B0F4F"/>
                <w:sz w:val="17"/>
              </w:rPr>
              <w:t>6</w:t>
            </w:r>
          </w:p>
        </w:tc>
        <w:tc>
          <w:tcPr>
            <w:tcW w:type="dxa" w:w="2500"/>
            <w:shd w:fill="F3F4F6"/>
            <w:tcMar>
              <w:top w:w="80" w:type="dxa"/>
              <w:start w:w="80" w:type="dxa"/>
              <w:bottom w:w="80" w:type="dxa"/>
              <w:end w:w="80" w:type="dxa"/>
            </w:tcMar>
            <w:vAlign w:val="top"/>
          </w:tcPr>
          <w:p>
            <w:r>
              <w:rPr>
                <w:rFonts w:ascii="Arial" w:hAnsi="Arial" w:eastAsia="Arial"/>
                <w:sz w:val="17"/>
              </w:rPr>
              <w:t>Accroches commerciales et questions utiles</w:t>
            </w:r>
          </w:p>
        </w:tc>
        <w:tc>
          <w:tcPr>
            <w:tcW w:type="dxa" w:w="5000"/>
            <w:shd w:fill="F3F4F6"/>
            <w:tcMar>
              <w:top w:w="80" w:type="dxa"/>
              <w:start w:w="80" w:type="dxa"/>
              <w:bottom w:w="80" w:type="dxa"/>
              <w:end w:w="80" w:type="dxa"/>
            </w:tcMar>
            <w:vAlign w:val="top"/>
          </w:tcPr>
          <w:p>
            <w:r>
              <w:rPr>
                <w:rFonts w:ascii="Arial" w:hAnsi="Arial" w:eastAsia="Arial"/>
                <w:sz w:val="17"/>
              </w:rPr>
              <w:t>Messages prêts à utiliser pour créer du lien.</w:t>
            </w:r>
          </w:p>
        </w:tc>
      </w:tr>
      <w:tr>
        <w:tc>
          <w:tcPr>
            <w:tcW w:type="dxa" w:w="900"/>
            <w:shd w:fill="FFFFFF"/>
            <w:tcMar>
              <w:top w:w="80" w:type="dxa"/>
              <w:start w:w="80" w:type="dxa"/>
              <w:bottom w:w="80" w:type="dxa"/>
              <w:end w:w="80" w:type="dxa"/>
            </w:tcMar>
            <w:vAlign w:val="top"/>
          </w:tcPr>
          <w:p>
            <w:r>
              <w:rPr>
                <w:rFonts w:ascii="Arial" w:hAnsi="Arial" w:eastAsia="Arial"/>
                <w:b/>
                <w:color w:val="4B0F4F"/>
                <w:sz w:val="17"/>
              </w:rPr>
              <w:t>7</w:t>
            </w:r>
          </w:p>
        </w:tc>
        <w:tc>
          <w:tcPr>
            <w:tcW w:type="dxa" w:w="2500"/>
            <w:shd w:fill="FFFFFF"/>
            <w:tcMar>
              <w:top w:w="80" w:type="dxa"/>
              <w:start w:w="80" w:type="dxa"/>
              <w:bottom w:w="80" w:type="dxa"/>
              <w:end w:w="80" w:type="dxa"/>
            </w:tcMar>
            <w:vAlign w:val="top"/>
          </w:tcPr>
          <w:p>
            <w:r>
              <w:rPr>
                <w:rFonts w:ascii="Arial" w:hAnsi="Arial" w:eastAsia="Arial"/>
                <w:sz w:val="17"/>
              </w:rPr>
              <w:t>Positionnement Tilencia / Fastor</w:t>
            </w:r>
          </w:p>
        </w:tc>
        <w:tc>
          <w:tcPr>
            <w:tcW w:type="dxa" w:w="5000"/>
            <w:shd w:fill="FFFFFF"/>
            <w:tcMar>
              <w:top w:w="80" w:type="dxa"/>
              <w:start w:w="80" w:type="dxa"/>
              <w:bottom w:w="80" w:type="dxa"/>
              <w:end w:w="80" w:type="dxa"/>
            </w:tcMar>
            <w:vAlign w:val="top"/>
          </w:tcPr>
          <w:p>
            <w:r>
              <w:rPr>
                <w:rFonts w:ascii="Arial" w:hAnsi="Arial" w:eastAsia="Arial"/>
                <w:sz w:val="17"/>
              </w:rPr>
              <w:t>Profils et offres à valoriser.</w:t>
            </w:r>
          </w:p>
        </w:tc>
      </w:tr>
      <w:tr>
        <w:tc>
          <w:tcPr>
            <w:tcW w:type="dxa" w:w="900"/>
            <w:shd w:fill="F3F4F6"/>
            <w:tcMar>
              <w:top w:w="80" w:type="dxa"/>
              <w:start w:w="80" w:type="dxa"/>
              <w:bottom w:w="80" w:type="dxa"/>
              <w:end w:w="80" w:type="dxa"/>
            </w:tcMar>
            <w:vAlign w:val="top"/>
          </w:tcPr>
          <w:p>
            <w:r>
              <w:rPr>
                <w:rFonts w:ascii="Arial" w:hAnsi="Arial" w:eastAsia="Arial"/>
                <w:b/>
                <w:color w:val="4B0F4F"/>
                <w:sz w:val="17"/>
              </w:rPr>
              <w:t>8</w:t>
            </w:r>
          </w:p>
        </w:tc>
        <w:tc>
          <w:tcPr>
            <w:tcW w:type="dxa" w:w="2500"/>
            <w:shd w:fill="F3F4F6"/>
            <w:tcMar>
              <w:top w:w="80" w:type="dxa"/>
              <w:start w:w="80" w:type="dxa"/>
              <w:bottom w:w="80" w:type="dxa"/>
              <w:end w:w="80" w:type="dxa"/>
            </w:tcMar>
            <w:vAlign w:val="top"/>
          </w:tcPr>
          <w:p>
            <w:r>
              <w:rPr>
                <w:rFonts w:ascii="Arial" w:hAnsi="Arial" w:eastAsia="Arial"/>
                <w:sz w:val="17"/>
              </w:rPr>
              <w:t>Annexes et sources</w:t>
            </w:r>
          </w:p>
        </w:tc>
        <w:tc>
          <w:tcPr>
            <w:tcW w:type="dxa" w:w="5000"/>
            <w:shd w:fill="F3F4F6"/>
            <w:tcMar>
              <w:top w:w="80" w:type="dxa"/>
              <w:start w:w="80" w:type="dxa"/>
              <w:bottom w:w="80" w:type="dxa"/>
              <w:end w:w="80" w:type="dxa"/>
            </w:tcMar>
            <w:vAlign w:val="top"/>
          </w:tcPr>
          <w:p>
            <w:r>
              <w:rPr>
                <w:rFonts w:ascii="Arial" w:hAnsi="Arial" w:eastAsia="Arial"/>
                <w:sz w:val="17"/>
              </w:rPr>
              <w:t>Notes de fiabilité et sources publiques utilisées.</w:t>
            </w:r>
          </w:p>
        </w:tc>
      </w:tr>
    </w:tbl>
    <w:p>
      <w:r>
        <w:br w:type="page"/>
      </w:r>
    </w:p>
    <w:p>
      <w:pPr>
        <w:jc w:val="left"/>
      </w:pPr>
      <w:r>
        <w:rPr>
          <w:b/>
          <w:color w:val="6C1D74"/>
          <w:sz w:val="36"/>
        </w:rPr>
        <w:t>1. Synthèse exécutive</w:t>
      </w:r>
    </w:p>
    <w:p>
      <w:r>
        <w:rPr>
          <w:i/>
          <w:color w:val="2F2F2F"/>
          <w:sz w:val="20"/>
        </w:rPr>
        <w:t>Le message central : l’Agirc-Arrco sort d’un long cycle d’unification SI et entre dans une phase de modernisation modulaire, data, IA, souveraineté et résilience.</w:t>
      </w:r>
    </w:p>
    <w:tbl>
      <w:tblPr>
        <w:tblW w:type="auto" w:w="0"/>
        <w:jc w:val="center"/>
        <w:tblLook w:firstColumn="1" w:firstRow="1" w:lastColumn="0" w:lastRow="0" w:noHBand="0" w:noVBand="1" w:val="04A0"/>
      </w:tblPr>
      <w:tblGrid>
        <w:gridCol w:w="10426"/>
      </w:tblGrid>
      <w:tr>
        <w:tc>
          <w:tcPr>
            <w:tcW w:type="dxa" w:w="10426"/>
            <w:shd w:fill="F2E7F3"/>
            <w:tcBorders>
              <w:top w:sz="12" w:val="single" w:color="6C1D74"/>
              <w:left w:sz="12" w:val="single" w:color="6C1D74"/>
              <w:bottom w:sz="12" w:val="single" w:color="6C1D74"/>
              <w:right w:sz="12" w:val="single" w:color="6C1D74"/>
            </w:tcBorders>
            <w:tcMar>
              <w:top w:w="160" w:type="dxa"/>
              <w:start w:w="160" w:type="dxa"/>
              <w:bottom w:w="160" w:type="dxa"/>
              <w:end w:w="160" w:type="dxa"/>
            </w:tcMar>
            <w:vAlign w:val="top"/>
          </w:tcPr>
          <w:p>
            <w:r>
              <w:rPr>
                <w:rFonts w:ascii="Arial" w:hAnsi="Arial" w:eastAsia="Arial"/>
                <w:b/>
                <w:color w:val="4B0F4F"/>
                <w:sz w:val="22"/>
              </w:rPr>
              <w:t>Lecture générale 2026-2027</w:t>
            </w:r>
          </w:p>
          <w:p>
            <w:r>
              <w:rPr>
                <w:rFonts w:ascii="Arial" w:hAnsi="Arial" w:eastAsia="Arial"/>
                <w:sz w:val="18"/>
              </w:rPr>
              <w:t>Le sujet DSI n’est plus seulement de construire un SI unique : le SI unifié est désormais considéré comme abouti. La conversation 2026-2027 doit donc se déplacer vers la résilience, la qualité de service, la souveraineté, la modularité, la donnée, l’industrialisation du run et l’intégration raisonnée de l’IA. [S1]</w:t>
            </w:r>
          </w:p>
        </w:tc>
      </w:tr>
    </w:tbl>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550"/>
            <w:shd w:fill="6C1D74"/>
            <w:tcMar>
              <w:top w:w="90" w:type="dxa"/>
              <w:start w:w="90" w:type="dxa"/>
              <w:bottom w:w="90" w:type="dxa"/>
              <w:end w:w="90" w:type="dxa"/>
            </w:tcMar>
            <w:vAlign w:val="top"/>
          </w:tcPr>
          <w:p>
            <w:pPr>
              <w:jc w:val="center"/>
            </w:pPr>
            <w:r>
              <w:rPr>
                <w:rFonts w:ascii="Arial" w:hAnsi="Arial" w:eastAsia="Arial"/>
                <w:b/>
                <w:color w:val="FFFFFF"/>
                <w:sz w:val="17"/>
              </w:rPr>
              <w:t>Axe</w:t>
            </w:r>
          </w:p>
        </w:tc>
        <w:tc>
          <w:tcPr>
            <w:tcW w:type="dxa" w:w="4100"/>
            <w:shd w:fill="6C1D74"/>
            <w:tcMar>
              <w:top w:w="90" w:type="dxa"/>
              <w:start w:w="90" w:type="dxa"/>
              <w:bottom w:w="90" w:type="dxa"/>
              <w:end w:w="90" w:type="dxa"/>
            </w:tcMar>
            <w:vAlign w:val="top"/>
          </w:tcPr>
          <w:p>
            <w:pPr>
              <w:jc w:val="center"/>
            </w:pPr>
            <w:r>
              <w:rPr>
                <w:rFonts w:ascii="Arial" w:hAnsi="Arial" w:eastAsia="Arial"/>
                <w:b/>
                <w:color w:val="FFFFFF"/>
                <w:sz w:val="17"/>
              </w:rPr>
              <w:t>Ce que disent les sources publiques</w:t>
            </w:r>
          </w:p>
        </w:tc>
        <w:tc>
          <w:tcPr>
            <w:tcW w:type="dxa" w:w="3900"/>
            <w:shd w:fill="6C1D74"/>
            <w:tcMar>
              <w:top w:w="90" w:type="dxa"/>
              <w:start w:w="90" w:type="dxa"/>
              <w:bottom w:w="90" w:type="dxa"/>
              <w:end w:w="90" w:type="dxa"/>
            </w:tcMar>
            <w:vAlign w:val="top"/>
          </w:tcPr>
          <w:p>
            <w:pPr>
              <w:jc w:val="center"/>
            </w:pPr>
            <w:r>
              <w:rPr>
                <w:rFonts w:ascii="Arial" w:hAnsi="Arial" w:eastAsia="Arial"/>
                <w:b/>
                <w:color w:val="FFFFFF"/>
                <w:sz w:val="17"/>
              </w:rPr>
              <w:t>Angle de conversation</w:t>
            </w:r>
          </w:p>
        </w:tc>
      </w:tr>
      <w:tr>
        <w:tc>
          <w:tcPr>
            <w:tcW w:type="dxa" w:w="1550"/>
            <w:shd w:fill="FFFFFF"/>
            <w:tcMar>
              <w:top w:w="80" w:type="dxa"/>
              <w:start w:w="80" w:type="dxa"/>
              <w:bottom w:w="80" w:type="dxa"/>
              <w:end w:w="80" w:type="dxa"/>
            </w:tcMar>
            <w:vAlign w:val="top"/>
          </w:tcPr>
          <w:p>
            <w:r>
              <w:rPr>
                <w:rFonts w:ascii="Arial" w:hAnsi="Arial" w:eastAsia="Arial"/>
                <w:b/>
                <w:color w:val="4B0F4F"/>
                <w:sz w:val="16"/>
              </w:rPr>
              <w:t>SI unifié finalisé</w:t>
            </w:r>
          </w:p>
        </w:tc>
        <w:tc>
          <w:tcPr>
            <w:tcW w:type="dxa" w:w="4100"/>
            <w:shd w:fill="FFFFFF"/>
            <w:tcMar>
              <w:top w:w="80" w:type="dxa"/>
              <w:start w:w="80" w:type="dxa"/>
              <w:bottom w:w="80" w:type="dxa"/>
              <w:end w:w="80" w:type="dxa"/>
            </w:tcMar>
            <w:vAlign w:val="top"/>
          </w:tcPr>
          <w:p>
            <w:r>
              <w:rPr>
                <w:rFonts w:ascii="Arial" w:hAnsi="Arial" w:eastAsia="Arial"/>
                <w:sz w:val="16"/>
              </w:rPr>
              <w:t>2025 marque l’achèvement du cycle de transformation engagé dès 2015 : système central de paiement, plateformes unifiées de carrière et demandes de retraite, modèle centralisé couvrant l’ensemble des processus métiers. [S1]</w:t>
            </w:r>
          </w:p>
        </w:tc>
        <w:tc>
          <w:tcPr>
            <w:tcW w:type="dxa" w:w="3900"/>
            <w:shd w:fill="FFFFFF"/>
            <w:tcMar>
              <w:top w:w="80" w:type="dxa"/>
              <w:start w:w="80" w:type="dxa"/>
              <w:bottom w:w="80" w:type="dxa"/>
              <w:end w:w="80" w:type="dxa"/>
            </w:tcMar>
            <w:vAlign w:val="top"/>
          </w:tcPr>
          <w:p>
            <w:r>
              <w:rPr>
                <w:rFonts w:ascii="Arial" w:hAnsi="Arial" w:eastAsia="Arial"/>
                <w:sz w:val="16"/>
              </w:rPr>
              <w:t>Sujet d’échange : sécurisation post-bascule, dette technique résiduelle, fiabilité des données, trajectoire d’industrialisation.</w:t>
            </w:r>
          </w:p>
        </w:tc>
      </w:tr>
      <w:tr>
        <w:tc>
          <w:tcPr>
            <w:tcW w:type="dxa" w:w="1550"/>
            <w:shd w:fill="F3F4F6"/>
            <w:tcMar>
              <w:top w:w="80" w:type="dxa"/>
              <w:start w:w="80" w:type="dxa"/>
              <w:bottom w:w="80" w:type="dxa"/>
              <w:end w:w="80" w:type="dxa"/>
            </w:tcMar>
            <w:vAlign w:val="top"/>
          </w:tcPr>
          <w:p>
            <w:r>
              <w:rPr>
                <w:rFonts w:ascii="Arial" w:hAnsi="Arial" w:eastAsia="Arial"/>
                <w:b/>
                <w:color w:val="4B0F4F"/>
                <w:sz w:val="16"/>
              </w:rPr>
              <w:t>RéSIlience</w:t>
            </w:r>
          </w:p>
        </w:tc>
        <w:tc>
          <w:tcPr>
            <w:tcW w:type="dxa" w:w="4100"/>
            <w:shd w:fill="F3F4F6"/>
            <w:tcMar>
              <w:top w:w="80" w:type="dxa"/>
              <w:start w:w="80" w:type="dxa"/>
              <w:bottom w:w="80" w:type="dxa"/>
              <w:end w:w="80" w:type="dxa"/>
            </w:tcMar>
            <w:vAlign w:val="top"/>
          </w:tcPr>
          <w:p>
            <w:r>
              <w:rPr>
                <w:rFonts w:ascii="Arial" w:hAnsi="Arial" w:eastAsia="Arial"/>
                <w:sz w:val="16"/>
              </w:rPr>
              <w:t>Programme pluriannuel engagé en 2022 pour renforcer robustesse, disponibilité 24/7, sécurité, stockage, archivage, sauvegarde et centralisation de l’exploitation. [S1]</w:t>
            </w:r>
          </w:p>
        </w:tc>
        <w:tc>
          <w:tcPr>
            <w:tcW w:type="dxa" w:w="3900"/>
            <w:shd w:fill="F3F4F6"/>
            <w:tcMar>
              <w:top w:w="80" w:type="dxa"/>
              <w:start w:w="80" w:type="dxa"/>
              <w:bottom w:w="80" w:type="dxa"/>
              <w:end w:w="80" w:type="dxa"/>
            </w:tcMar>
            <w:vAlign w:val="top"/>
          </w:tcPr>
          <w:p>
            <w:r>
              <w:rPr>
                <w:rFonts w:ascii="Arial" w:hAnsi="Arial" w:eastAsia="Arial"/>
                <w:sz w:val="16"/>
              </w:rPr>
              <w:t>Sujet d’échange : production critique, supervision, PRA/PCA, cybersécurité, qualité de service, SRE/observabilité.</w:t>
            </w:r>
          </w:p>
        </w:tc>
      </w:tr>
      <w:tr>
        <w:tc>
          <w:tcPr>
            <w:tcW w:type="dxa" w:w="1550"/>
            <w:shd w:fill="FFFFFF"/>
            <w:tcMar>
              <w:top w:w="80" w:type="dxa"/>
              <w:start w:w="80" w:type="dxa"/>
              <w:bottom w:w="80" w:type="dxa"/>
              <w:end w:w="80" w:type="dxa"/>
            </w:tcMar>
            <w:vAlign w:val="top"/>
          </w:tcPr>
          <w:p>
            <w:r>
              <w:rPr>
                <w:rFonts w:ascii="Arial" w:hAnsi="Arial" w:eastAsia="Arial"/>
                <w:b/>
                <w:color w:val="4B0F4F"/>
                <w:sz w:val="16"/>
              </w:rPr>
              <w:t>SMI2</w:t>
            </w:r>
          </w:p>
        </w:tc>
        <w:tc>
          <w:tcPr>
            <w:tcW w:type="dxa" w:w="4100"/>
            <w:shd w:fill="FFFFFF"/>
            <w:tcMar>
              <w:top w:w="80" w:type="dxa"/>
              <w:start w:w="80" w:type="dxa"/>
              <w:bottom w:w="80" w:type="dxa"/>
              <w:end w:w="80" w:type="dxa"/>
            </w:tcMar>
            <w:vAlign w:val="top"/>
          </w:tcPr>
          <w:p>
            <w:r>
              <w:rPr>
                <w:rFonts w:ascii="Arial" w:hAnsi="Arial" w:eastAsia="Arial"/>
                <w:sz w:val="16"/>
              </w:rPr>
              <w:t>Nouveau programme lancé fin 2025 : Système modulaire et intelligent intégré, centré sur la donnée, les nouvelles technologies et l’IA, avec 9 chantiers. [S1]</w:t>
            </w:r>
          </w:p>
        </w:tc>
        <w:tc>
          <w:tcPr>
            <w:tcW w:type="dxa" w:w="3900"/>
            <w:shd w:fill="FFFFFF"/>
            <w:tcMar>
              <w:top w:w="80" w:type="dxa"/>
              <w:start w:w="80" w:type="dxa"/>
              <w:bottom w:w="80" w:type="dxa"/>
              <w:end w:w="80" w:type="dxa"/>
            </w:tcMar>
            <w:vAlign w:val="top"/>
          </w:tcPr>
          <w:p>
            <w:r>
              <w:rPr>
                <w:rFonts w:ascii="Arial" w:hAnsi="Arial" w:eastAsia="Arial"/>
                <w:sz w:val="16"/>
              </w:rPr>
              <w:t>Sujet d’échange : architecture modulaire, APIs, data governance, IA contrôlée, change, compétences.</w:t>
            </w:r>
          </w:p>
        </w:tc>
      </w:tr>
      <w:tr>
        <w:tc>
          <w:tcPr>
            <w:tcW w:type="dxa" w:w="1550"/>
            <w:shd w:fill="F3F4F6"/>
            <w:tcMar>
              <w:top w:w="80" w:type="dxa"/>
              <w:start w:w="80" w:type="dxa"/>
              <w:bottom w:w="80" w:type="dxa"/>
              <w:end w:w="80" w:type="dxa"/>
            </w:tcMar>
            <w:vAlign w:val="top"/>
          </w:tcPr>
          <w:p>
            <w:r>
              <w:rPr>
                <w:rFonts w:ascii="Arial" w:hAnsi="Arial" w:eastAsia="Arial"/>
                <w:b/>
                <w:color w:val="4B0F4F"/>
                <w:sz w:val="16"/>
              </w:rPr>
              <w:t>Souveraineté numérique</w:t>
            </w:r>
          </w:p>
        </w:tc>
        <w:tc>
          <w:tcPr>
            <w:tcW w:type="dxa" w:w="4100"/>
            <w:shd w:fill="F3F4F6"/>
            <w:tcMar>
              <w:top w:w="80" w:type="dxa"/>
              <w:start w:w="80" w:type="dxa"/>
              <w:bottom w:w="80" w:type="dxa"/>
              <w:end w:w="80" w:type="dxa"/>
            </w:tcMar>
            <w:vAlign w:val="top"/>
          </w:tcPr>
          <w:p>
            <w:r>
              <w:rPr>
                <w:rFonts w:ascii="Arial" w:hAnsi="Arial" w:eastAsia="Arial"/>
                <w:sz w:val="16"/>
              </w:rPr>
              <w:t>Chantier explicite : stratégie logicielle indépendante, hébergement local, capitalisation sur le datacenter de Gradignan, poursuite de l’open source. [S1]</w:t>
            </w:r>
          </w:p>
        </w:tc>
        <w:tc>
          <w:tcPr>
            <w:tcW w:type="dxa" w:w="3900"/>
            <w:shd w:fill="F3F4F6"/>
            <w:tcMar>
              <w:top w:w="80" w:type="dxa"/>
              <w:start w:w="80" w:type="dxa"/>
              <w:bottom w:w="80" w:type="dxa"/>
              <w:end w:w="80" w:type="dxa"/>
            </w:tcMar>
            <w:vAlign w:val="top"/>
          </w:tcPr>
          <w:p>
            <w:r>
              <w:rPr>
                <w:rFonts w:ascii="Arial" w:hAnsi="Arial" w:eastAsia="Arial"/>
                <w:sz w:val="16"/>
              </w:rPr>
              <w:t>Sujet d’échange : alternatives éditeurs, open source, local hosting, maîtrise fournisseurs, sécurité des données.</w:t>
            </w:r>
          </w:p>
        </w:tc>
      </w:tr>
      <w:tr>
        <w:tc>
          <w:tcPr>
            <w:tcW w:type="dxa" w:w="1550"/>
            <w:shd w:fill="FFFFFF"/>
            <w:tcMar>
              <w:top w:w="80" w:type="dxa"/>
              <w:start w:w="80" w:type="dxa"/>
              <w:bottom w:w="80" w:type="dxa"/>
              <w:end w:w="80" w:type="dxa"/>
            </w:tcMar>
            <w:vAlign w:val="top"/>
          </w:tcPr>
          <w:p>
            <w:r>
              <w:rPr>
                <w:rFonts w:ascii="Arial" w:hAnsi="Arial" w:eastAsia="Arial"/>
                <w:b/>
                <w:color w:val="4B0F4F"/>
                <w:sz w:val="16"/>
              </w:rPr>
              <w:t>Service client omnicanal</w:t>
            </w:r>
          </w:p>
        </w:tc>
        <w:tc>
          <w:tcPr>
            <w:tcW w:type="dxa" w:w="4100"/>
            <w:shd w:fill="FFFFFF"/>
            <w:tcMar>
              <w:top w:w="80" w:type="dxa"/>
              <w:start w:w="80" w:type="dxa"/>
              <w:bottom w:w="80" w:type="dxa"/>
              <w:end w:w="80" w:type="dxa"/>
            </w:tcMar>
            <w:vAlign w:val="top"/>
          </w:tcPr>
          <w:p>
            <w:r>
              <w:rPr>
                <w:rFonts w:ascii="Arial" w:hAnsi="Arial" w:eastAsia="Arial"/>
                <w:sz w:val="16"/>
              </w:rPr>
              <w:t>Espace personnel refondu, entretiens en visioconférence, webinaires, services en ligne, accessibilité Acceo. [S1]</w:t>
            </w:r>
          </w:p>
        </w:tc>
        <w:tc>
          <w:tcPr>
            <w:tcW w:type="dxa" w:w="3900"/>
            <w:shd w:fill="FFFFFF"/>
            <w:tcMar>
              <w:top w:w="80" w:type="dxa"/>
              <w:start w:w="80" w:type="dxa"/>
              <w:bottom w:w="80" w:type="dxa"/>
              <w:end w:w="80" w:type="dxa"/>
            </w:tcMar>
            <w:vAlign w:val="top"/>
          </w:tcPr>
          <w:p>
            <w:r>
              <w:rPr>
                <w:rFonts w:ascii="Arial" w:hAnsi="Arial" w:eastAsia="Arial"/>
                <w:sz w:val="16"/>
              </w:rPr>
              <w:t>Sujet d’échange : UX, parcours utilisateurs, accessibilité, support, capacité à absorber des pics.</w:t>
            </w:r>
          </w:p>
        </w:tc>
      </w:tr>
      <w:tr>
        <w:tc>
          <w:tcPr>
            <w:tcW w:type="dxa" w:w="1550"/>
            <w:shd w:fill="F3F4F6"/>
            <w:tcMar>
              <w:top w:w="80" w:type="dxa"/>
              <w:start w:w="80" w:type="dxa"/>
              <w:bottom w:w="80" w:type="dxa"/>
              <w:end w:w="80" w:type="dxa"/>
            </w:tcMar>
            <w:vAlign w:val="top"/>
          </w:tcPr>
          <w:p>
            <w:r>
              <w:rPr>
                <w:rFonts w:ascii="Arial" w:hAnsi="Arial" w:eastAsia="Arial"/>
                <w:b/>
                <w:color w:val="4B0F4F"/>
                <w:sz w:val="16"/>
              </w:rPr>
              <w:t>Entreprise / DSN</w:t>
            </w:r>
          </w:p>
        </w:tc>
        <w:tc>
          <w:tcPr>
            <w:tcW w:type="dxa" w:w="4100"/>
            <w:shd w:fill="F3F4F6"/>
            <w:tcMar>
              <w:top w:w="80" w:type="dxa"/>
              <w:start w:w="80" w:type="dxa"/>
              <w:bottom w:w="80" w:type="dxa"/>
              <w:end w:w="80" w:type="dxa"/>
            </w:tcMar>
            <w:vAlign w:val="top"/>
          </w:tcPr>
          <w:p>
            <w:r>
              <w:rPr>
                <w:rFonts w:ascii="Arial" w:hAnsi="Arial" w:eastAsia="Arial"/>
                <w:sz w:val="16"/>
              </w:rPr>
              <w:t>Programme ROSE, DSN-Fiab et services adaptés aux dirigeants, RH, experts-comptables et tiers déclarants. [S1]</w:t>
            </w:r>
          </w:p>
        </w:tc>
        <w:tc>
          <w:tcPr>
            <w:tcW w:type="dxa" w:w="3900"/>
            <w:shd w:fill="F3F4F6"/>
            <w:tcMar>
              <w:top w:w="80" w:type="dxa"/>
              <w:start w:w="80" w:type="dxa"/>
              <w:bottom w:w="80" w:type="dxa"/>
              <w:end w:w="80" w:type="dxa"/>
            </w:tcMar>
            <w:vAlign w:val="top"/>
          </w:tcPr>
          <w:p>
            <w:r>
              <w:rPr>
                <w:rFonts w:ascii="Arial" w:hAnsi="Arial" w:eastAsia="Arial"/>
                <w:sz w:val="16"/>
              </w:rPr>
              <w:t>Sujet d’échange : fiabilisation des données, qualité déclarative, outillage entreprises, accompagnement tiers déclarants.</w:t>
            </w:r>
          </w:p>
        </w:tc>
      </w:tr>
      <w:tr>
        <w:tc>
          <w:tcPr>
            <w:tcW w:type="dxa" w:w="1550"/>
            <w:shd w:fill="FFFFFF"/>
            <w:tcMar>
              <w:top w:w="80" w:type="dxa"/>
              <w:start w:w="80" w:type="dxa"/>
              <w:bottom w:w="80" w:type="dxa"/>
              <w:end w:w="80" w:type="dxa"/>
            </w:tcMar>
            <w:vAlign w:val="top"/>
          </w:tcPr>
          <w:p>
            <w:r>
              <w:rPr>
                <w:rFonts w:ascii="Arial" w:hAnsi="Arial" w:eastAsia="Arial"/>
                <w:b/>
                <w:color w:val="4B0F4F"/>
                <w:sz w:val="16"/>
              </w:rPr>
              <w:t>COM 2023-2026</w:t>
            </w:r>
          </w:p>
        </w:tc>
        <w:tc>
          <w:tcPr>
            <w:tcW w:type="dxa" w:w="4100"/>
            <w:shd w:fill="FFFFFF"/>
            <w:tcMar>
              <w:top w:w="80" w:type="dxa"/>
              <w:start w:w="80" w:type="dxa"/>
              <w:bottom w:w="80" w:type="dxa"/>
              <w:end w:w="80" w:type="dxa"/>
            </w:tcMar>
            <w:vAlign w:val="top"/>
          </w:tcPr>
          <w:p>
            <w:r>
              <w:rPr>
                <w:rFonts w:ascii="Arial" w:hAnsi="Arial" w:eastAsia="Arial"/>
                <w:sz w:val="16"/>
              </w:rPr>
              <w:t>Le COM arrive en fin de période : 45 indicateurs, qualité de service, relation assurés/entreprises, réseau conseil retraite, performance SI. [S1]</w:t>
            </w:r>
          </w:p>
        </w:tc>
        <w:tc>
          <w:tcPr>
            <w:tcW w:type="dxa" w:w="3900"/>
            <w:shd w:fill="FFFFFF"/>
            <w:tcMar>
              <w:top w:w="80" w:type="dxa"/>
              <w:start w:w="80" w:type="dxa"/>
              <w:bottom w:w="80" w:type="dxa"/>
              <w:end w:w="80" w:type="dxa"/>
            </w:tcMar>
            <w:vAlign w:val="top"/>
          </w:tcPr>
          <w:p>
            <w:r>
              <w:rPr>
                <w:rFonts w:ascii="Arial" w:hAnsi="Arial" w:eastAsia="Arial"/>
                <w:sz w:val="16"/>
              </w:rPr>
              <w:t>Sujet d’échange : préparation de la prochaine feuille de route, KPIs, performance économique, indicateurs SI.</w:t>
            </w:r>
          </w:p>
        </w:tc>
      </w:tr>
    </w:tbl>
    <w:p>
      <w:r>
        <w:rPr>
          <w:b/>
          <w:color w:val="4B0F4F"/>
          <w:sz w:val="24"/>
        </w:rPr>
        <w:t>Chiffres à mémoriser</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1800"/>
            <w:shd w:fill="F2673A"/>
            <w:tcMar>
              <w:top w:w="90" w:type="dxa"/>
              <w:start w:w="90" w:type="dxa"/>
              <w:bottom w:w="90" w:type="dxa"/>
              <w:end w:w="90" w:type="dxa"/>
            </w:tcMar>
            <w:vAlign w:val="top"/>
          </w:tcPr>
          <w:p>
            <w:pPr>
              <w:jc w:val="center"/>
            </w:pPr>
            <w:r>
              <w:rPr>
                <w:rFonts w:ascii="Arial" w:hAnsi="Arial" w:eastAsia="Arial"/>
                <w:b/>
                <w:color w:val="FFFFFF"/>
                <w:sz w:val="17"/>
              </w:rPr>
              <w:t>Indicateur</w:t>
            </w:r>
          </w:p>
        </w:tc>
        <w:tc>
          <w:tcPr>
            <w:tcW w:type="dxa" w:w="7000"/>
            <w:shd w:fill="F2673A"/>
            <w:tcMar>
              <w:top w:w="90" w:type="dxa"/>
              <w:start w:w="90" w:type="dxa"/>
              <w:bottom w:w="90" w:type="dxa"/>
              <w:end w:w="90" w:type="dxa"/>
            </w:tcMar>
            <w:vAlign w:val="top"/>
          </w:tcPr>
          <w:p>
            <w:pPr>
              <w:jc w:val="center"/>
            </w:pPr>
            <w:r>
              <w:rPr>
                <w:rFonts w:ascii="Arial" w:hAnsi="Arial" w:eastAsia="Arial"/>
                <w:b/>
                <w:color w:val="FFFFFF"/>
                <w:sz w:val="17"/>
              </w:rPr>
              <w:t>Pourquoi c’est utile</w:t>
            </w:r>
          </w:p>
        </w:tc>
      </w:tr>
      <w:tr>
        <w:tc>
          <w:tcPr>
            <w:tcW w:type="dxa" w:w="1800"/>
            <w:shd w:fill="FFFFFF"/>
            <w:tcMar>
              <w:top w:w="80" w:type="dxa"/>
              <w:start w:w="80" w:type="dxa"/>
              <w:bottom w:w="80" w:type="dxa"/>
              <w:end w:w="80" w:type="dxa"/>
            </w:tcMar>
            <w:vAlign w:val="top"/>
          </w:tcPr>
          <w:p>
            <w:r>
              <w:rPr>
                <w:rFonts w:ascii="Arial" w:hAnsi="Arial" w:eastAsia="Arial"/>
                <w:b/>
                <w:color w:val="4B0F4F"/>
                <w:sz w:val="17"/>
              </w:rPr>
              <w:t>99,93 %</w:t>
            </w:r>
          </w:p>
        </w:tc>
        <w:tc>
          <w:tcPr>
            <w:tcW w:type="dxa" w:w="7000"/>
            <w:shd w:fill="FFFFFF"/>
            <w:tcMar>
              <w:top w:w="80" w:type="dxa"/>
              <w:start w:w="80" w:type="dxa"/>
              <w:bottom w:w="80" w:type="dxa"/>
              <w:end w:w="80" w:type="dxa"/>
            </w:tcMar>
            <w:vAlign w:val="top"/>
          </w:tcPr>
          <w:p>
            <w:r>
              <w:rPr>
                <w:rFonts w:ascii="Arial" w:hAnsi="Arial" w:eastAsia="Arial"/>
                <w:sz w:val="17"/>
              </w:rPr>
              <w:t>Disponibilité SI-RC en 2025, pour un objectif de 99,80 %. [S1]</w:t>
            </w:r>
          </w:p>
        </w:tc>
      </w:tr>
      <w:tr>
        <w:tc>
          <w:tcPr>
            <w:tcW w:type="dxa" w:w="1800"/>
            <w:shd w:fill="F3F4F6"/>
            <w:tcMar>
              <w:top w:w="80" w:type="dxa"/>
              <w:start w:w="80" w:type="dxa"/>
              <w:bottom w:w="80" w:type="dxa"/>
              <w:end w:w="80" w:type="dxa"/>
            </w:tcMar>
            <w:vAlign w:val="top"/>
          </w:tcPr>
          <w:p>
            <w:r>
              <w:rPr>
                <w:rFonts w:ascii="Arial" w:hAnsi="Arial" w:eastAsia="Arial"/>
                <w:b/>
                <w:color w:val="4B0F4F"/>
                <w:sz w:val="17"/>
              </w:rPr>
              <w:t>1,4 Md€</w:t>
            </w:r>
          </w:p>
        </w:tc>
        <w:tc>
          <w:tcPr>
            <w:tcW w:type="dxa" w:w="7000"/>
            <w:shd w:fill="F3F4F6"/>
            <w:tcMar>
              <w:top w:w="80" w:type="dxa"/>
              <w:start w:w="80" w:type="dxa"/>
              <w:bottom w:w="80" w:type="dxa"/>
              <w:end w:w="80" w:type="dxa"/>
            </w:tcMar>
            <w:vAlign w:val="top"/>
          </w:tcPr>
          <w:p>
            <w:r>
              <w:rPr>
                <w:rFonts w:ascii="Arial" w:hAnsi="Arial" w:eastAsia="Arial"/>
                <w:sz w:val="17"/>
              </w:rPr>
              <w:t>Résultat global 2025 du régime ; trajectoire financière équilibrée. [S3]</w:t>
            </w:r>
          </w:p>
        </w:tc>
      </w:tr>
      <w:tr>
        <w:tc>
          <w:tcPr>
            <w:tcW w:type="dxa" w:w="1800"/>
            <w:shd w:fill="FFFFFF"/>
            <w:tcMar>
              <w:top w:w="80" w:type="dxa"/>
              <w:start w:w="80" w:type="dxa"/>
              <w:bottom w:w="80" w:type="dxa"/>
              <w:end w:w="80" w:type="dxa"/>
            </w:tcMar>
            <w:vAlign w:val="top"/>
          </w:tcPr>
          <w:p>
            <w:r>
              <w:rPr>
                <w:rFonts w:ascii="Arial" w:hAnsi="Arial" w:eastAsia="Arial"/>
                <w:b/>
                <w:color w:val="4B0F4F"/>
                <w:sz w:val="17"/>
              </w:rPr>
              <w:t>91,2 Md€</w:t>
            </w:r>
          </w:p>
        </w:tc>
        <w:tc>
          <w:tcPr>
            <w:tcW w:type="dxa" w:w="7000"/>
            <w:shd w:fill="FFFFFF"/>
            <w:tcMar>
              <w:top w:w="80" w:type="dxa"/>
              <w:start w:w="80" w:type="dxa"/>
              <w:bottom w:w="80" w:type="dxa"/>
              <w:end w:w="80" w:type="dxa"/>
            </w:tcMar>
            <w:vAlign w:val="top"/>
          </w:tcPr>
          <w:p>
            <w:r>
              <w:rPr>
                <w:rFonts w:ascii="Arial" w:hAnsi="Arial" w:eastAsia="Arial"/>
                <w:sz w:val="17"/>
              </w:rPr>
              <w:t>Réserves disponibles en valeur de marché au 31/12/2025. [S3]</w:t>
            </w:r>
          </w:p>
        </w:tc>
      </w:tr>
      <w:tr>
        <w:tc>
          <w:tcPr>
            <w:tcW w:type="dxa" w:w="1800"/>
            <w:shd w:fill="F3F4F6"/>
            <w:tcMar>
              <w:top w:w="80" w:type="dxa"/>
              <w:start w:w="80" w:type="dxa"/>
              <w:bottom w:w="80" w:type="dxa"/>
              <w:end w:w="80" w:type="dxa"/>
            </w:tcMar>
            <w:vAlign w:val="top"/>
          </w:tcPr>
          <w:p>
            <w:r>
              <w:rPr>
                <w:rFonts w:ascii="Arial" w:hAnsi="Arial" w:eastAsia="Arial"/>
                <w:b/>
                <w:color w:val="4B0F4F"/>
                <w:sz w:val="17"/>
              </w:rPr>
              <w:t>82,5 M€</w:t>
            </w:r>
          </w:p>
        </w:tc>
        <w:tc>
          <w:tcPr>
            <w:tcW w:type="dxa" w:w="7000"/>
            <w:shd w:fill="F3F4F6"/>
            <w:tcMar>
              <w:top w:w="80" w:type="dxa"/>
              <w:start w:w="80" w:type="dxa"/>
              <w:bottom w:w="80" w:type="dxa"/>
              <w:end w:w="80" w:type="dxa"/>
            </w:tcMar>
            <w:vAlign w:val="top"/>
          </w:tcPr>
          <w:p>
            <w:r>
              <w:rPr>
                <w:rFonts w:ascii="Arial" w:hAnsi="Arial" w:eastAsia="Arial"/>
                <w:sz w:val="17"/>
              </w:rPr>
              <w:t>Dépenses SI-RC réalisées en 2025 ; valeur brute SI-RC : 672 M€. [S8]</w:t>
            </w:r>
          </w:p>
        </w:tc>
      </w:tr>
      <w:tr>
        <w:tc>
          <w:tcPr>
            <w:tcW w:type="dxa" w:w="1800"/>
            <w:shd w:fill="FFFFFF"/>
            <w:tcMar>
              <w:top w:w="80" w:type="dxa"/>
              <w:start w:w="80" w:type="dxa"/>
              <w:bottom w:w="80" w:type="dxa"/>
              <w:end w:w="80" w:type="dxa"/>
            </w:tcMar>
            <w:vAlign w:val="top"/>
          </w:tcPr>
          <w:p>
            <w:r>
              <w:rPr>
                <w:rFonts w:ascii="Arial" w:hAnsi="Arial" w:eastAsia="Arial"/>
                <w:b/>
                <w:color w:val="4B0F4F"/>
                <w:sz w:val="17"/>
              </w:rPr>
              <w:t>450 000+</w:t>
            </w:r>
          </w:p>
        </w:tc>
        <w:tc>
          <w:tcPr>
            <w:tcW w:type="dxa" w:w="7000"/>
            <w:shd w:fill="FFFFFF"/>
            <w:tcMar>
              <w:top w:w="80" w:type="dxa"/>
              <w:start w:w="80" w:type="dxa"/>
              <w:bottom w:w="80" w:type="dxa"/>
              <w:end w:w="80" w:type="dxa"/>
            </w:tcMar>
            <w:vAlign w:val="top"/>
          </w:tcPr>
          <w:p>
            <w:r>
              <w:rPr>
                <w:rFonts w:ascii="Arial" w:hAnsi="Arial" w:eastAsia="Arial"/>
                <w:sz w:val="17"/>
              </w:rPr>
              <w:t>Rendez-vous réalisés en 2025 dans le cadre COM / relation client. [S1]</w:t>
            </w:r>
          </w:p>
        </w:tc>
      </w:tr>
      <w:tr>
        <w:tc>
          <w:tcPr>
            <w:tcW w:type="dxa" w:w="1800"/>
            <w:shd w:fill="F3F4F6"/>
            <w:tcMar>
              <w:top w:w="80" w:type="dxa"/>
              <w:start w:w="80" w:type="dxa"/>
              <w:bottom w:w="80" w:type="dxa"/>
              <w:end w:w="80" w:type="dxa"/>
            </w:tcMar>
            <w:vAlign w:val="top"/>
          </w:tcPr>
          <w:p>
            <w:r>
              <w:rPr>
                <w:rFonts w:ascii="Arial" w:hAnsi="Arial" w:eastAsia="Arial"/>
                <w:b/>
                <w:color w:val="4B0F4F"/>
                <w:sz w:val="17"/>
              </w:rPr>
              <w:t>5 700</w:t>
            </w:r>
          </w:p>
        </w:tc>
        <w:tc>
          <w:tcPr>
            <w:tcW w:type="dxa" w:w="7000"/>
            <w:shd w:fill="F3F4F6"/>
            <w:tcMar>
              <w:top w:w="80" w:type="dxa"/>
              <w:start w:w="80" w:type="dxa"/>
              <w:bottom w:w="80" w:type="dxa"/>
              <w:end w:w="80" w:type="dxa"/>
            </w:tcMar>
            <w:vAlign w:val="top"/>
          </w:tcPr>
          <w:p>
            <w:r>
              <w:rPr>
                <w:rFonts w:ascii="Arial" w:hAnsi="Arial" w:eastAsia="Arial"/>
                <w:sz w:val="17"/>
              </w:rPr>
              <w:t>Entretiens retraite réalisés en visioconférence en 2025. [S1]</w:t>
            </w:r>
          </w:p>
        </w:tc>
      </w:tr>
    </w:tbl>
    <w:p>
      <w:r/>
    </w:p>
    <w:p>
      <w:pPr>
        <w:jc w:val="left"/>
      </w:pPr>
      <w:r>
        <w:rPr>
          <w:b/>
          <w:color w:val="6C1D74"/>
          <w:sz w:val="36"/>
        </w:rPr>
        <w:t>2. Contexte institutionnel et activité 2026</w:t>
      </w:r>
    </w:p>
    <w:p>
      <w:r>
        <w:rPr>
          <w:i/>
          <w:color w:val="2F2F2F"/>
          <w:sz w:val="20"/>
        </w:rPr>
        <w:t>Les signaux publics montrent un régime robuste financièrement, mais soumis à une forte exigence de service, de pédagogie et d’adaptation réglementaire.</w:t>
      </w:r>
    </w:p>
    <w:p>
      <w:r>
        <w:rPr>
          <w:b/>
          <w:color w:val="4B0F4F"/>
          <w:sz w:val="22"/>
        </w:rPr>
        <w:t>Chaîne de contexte 2026</w:t>
      </w:r>
    </w:p>
    <w:tbl>
      <w:tblPr>
        <w:tblW w:type="auto" w:w="0"/>
        <w:jc w:val="center"/>
        <w:tblLook w:firstColumn="1" w:firstRow="1" w:lastColumn="0" w:lastRow="0" w:noHBand="0" w:noVBand="1" w:val="04A0"/>
      </w:tblPr>
      <w:tblGrid>
        <w:gridCol w:w="2606"/>
        <w:gridCol w:w="2606"/>
        <w:gridCol w:w="2606"/>
        <w:gridCol w:w="2606"/>
      </w:tblGrid>
      <w:tr>
        <w:tc>
          <w:tcPr>
            <w:tcW w:type="dxa" w:w="2606"/>
            <w:shd w:fill="F2E7F3"/>
            <w:tcBorders>
              <w:top w:sz="8" w:val="single" w:color="FFFFFF"/>
              <w:left w:sz="8" w:val="single" w:color="FFFFFF"/>
              <w:bottom w:sz="8" w:val="single" w:color="FFFFFF"/>
              <w:right w:sz="8" w:val="single" w:color="FFFFFF"/>
            </w:tcBorders>
            <w:tcMar>
              <w:top w:w="100" w:type="dxa"/>
              <w:start w:w="100" w:type="dxa"/>
              <w:bottom w:w="100" w:type="dxa"/>
              <w:end w:w="100" w:type="dxa"/>
            </w:tcMar>
            <w:vAlign w:val="top"/>
          </w:tcPr>
          <w:p>
            <w:pPr>
              <w:jc w:val="center"/>
            </w:pPr>
            <w:r>
              <w:rPr>
                <w:rFonts w:ascii="Arial" w:hAnsi="Arial" w:eastAsia="Arial"/>
                <w:b/>
                <w:color w:val="4B0F4F"/>
                <w:sz w:val="18"/>
              </w:rPr>
              <w:t>Équilibre financier</w:t>
            </w:r>
          </w:p>
          <w:p>
            <w:pPr>
              <w:jc w:val="center"/>
            </w:pPr>
            <w:r>
              <w:rPr>
                <w:rFonts w:ascii="Arial" w:hAnsi="Arial" w:eastAsia="Arial"/>
                <w:sz w:val="16"/>
              </w:rPr>
              <w:t>Résultat positif, réserves, pilotage paritaire</w:t>
            </w:r>
          </w:p>
        </w:tc>
        <w:tc>
          <w:tcPr>
            <w:tcW w:type="dxa" w:w="2606"/>
            <w:shd w:fill="FDECE5"/>
            <w:tcBorders>
              <w:top w:sz="8" w:val="single" w:color="FFFFFF"/>
              <w:left w:sz="8" w:val="single" w:color="FFFFFF"/>
              <w:bottom w:sz="8" w:val="single" w:color="FFFFFF"/>
              <w:right w:sz="8" w:val="single" w:color="FFFFFF"/>
            </w:tcBorders>
            <w:tcMar>
              <w:top w:w="100" w:type="dxa"/>
              <w:start w:w="100" w:type="dxa"/>
              <w:bottom w:w="100" w:type="dxa"/>
              <w:end w:w="100" w:type="dxa"/>
            </w:tcMar>
            <w:vAlign w:val="top"/>
          </w:tcPr>
          <w:p>
            <w:pPr>
              <w:jc w:val="center"/>
            </w:pPr>
            <w:r>
              <w:rPr>
                <w:rFonts w:ascii="Arial" w:hAnsi="Arial" w:eastAsia="Arial"/>
                <w:b/>
                <w:color w:val="4B0F4F"/>
                <w:sz w:val="18"/>
              </w:rPr>
              <w:t>Pression de service</w:t>
            </w:r>
          </w:p>
          <w:p>
            <w:pPr>
              <w:jc w:val="center"/>
            </w:pPr>
            <w:r>
              <w:rPr>
                <w:rFonts w:ascii="Arial" w:hAnsi="Arial" w:eastAsia="Arial"/>
                <w:sz w:val="16"/>
              </w:rPr>
              <w:t>Rendez-vous, webinaires, visio, parcours en ligne</w:t>
            </w:r>
          </w:p>
        </w:tc>
        <w:tc>
          <w:tcPr>
            <w:tcW w:type="dxa" w:w="2606"/>
            <w:shd w:fill="F2E7F3"/>
            <w:tcBorders>
              <w:top w:sz="8" w:val="single" w:color="FFFFFF"/>
              <w:left w:sz="8" w:val="single" w:color="FFFFFF"/>
              <w:bottom w:sz="8" w:val="single" w:color="FFFFFF"/>
              <w:right w:sz="8" w:val="single" w:color="FFFFFF"/>
            </w:tcBorders>
            <w:tcMar>
              <w:top w:w="100" w:type="dxa"/>
              <w:start w:w="100" w:type="dxa"/>
              <w:bottom w:w="100" w:type="dxa"/>
              <w:end w:w="100" w:type="dxa"/>
            </w:tcMar>
            <w:vAlign w:val="top"/>
          </w:tcPr>
          <w:p>
            <w:pPr>
              <w:jc w:val="center"/>
            </w:pPr>
            <w:r>
              <w:rPr>
                <w:rFonts w:ascii="Arial" w:hAnsi="Arial" w:eastAsia="Arial"/>
                <w:b/>
                <w:color w:val="4B0F4F"/>
                <w:sz w:val="18"/>
              </w:rPr>
              <w:t>Évolutions réglementaires</w:t>
            </w:r>
          </w:p>
          <w:p>
            <w:pPr>
              <w:jc w:val="center"/>
            </w:pPr>
            <w:r>
              <w:rPr>
                <w:rFonts w:ascii="Arial" w:hAnsi="Arial" w:eastAsia="Arial"/>
                <w:sz w:val="16"/>
              </w:rPr>
              <w:t>Retraite progressive, réforme/suspension, carrières</w:t>
            </w:r>
          </w:p>
        </w:tc>
        <w:tc>
          <w:tcPr>
            <w:tcW w:type="dxa" w:w="2606"/>
            <w:shd w:fill="FDECE5"/>
            <w:tcBorders>
              <w:top w:sz="8" w:val="single" w:color="FFFFFF"/>
              <w:left w:sz="8" w:val="single" w:color="FFFFFF"/>
              <w:bottom w:sz="8" w:val="single" w:color="FFFFFF"/>
              <w:right w:sz="8" w:val="single" w:color="FFFFFF"/>
            </w:tcBorders>
            <w:tcMar>
              <w:top w:w="100" w:type="dxa"/>
              <w:start w:w="100" w:type="dxa"/>
              <w:bottom w:w="100" w:type="dxa"/>
              <w:end w:w="100" w:type="dxa"/>
            </w:tcMar>
            <w:vAlign w:val="top"/>
          </w:tcPr>
          <w:p>
            <w:pPr>
              <w:jc w:val="center"/>
            </w:pPr>
            <w:r>
              <w:rPr>
                <w:rFonts w:ascii="Arial" w:hAnsi="Arial" w:eastAsia="Arial"/>
                <w:b/>
                <w:color w:val="4B0F4F"/>
                <w:sz w:val="18"/>
              </w:rPr>
              <w:t>Modernisation SI</w:t>
            </w:r>
          </w:p>
          <w:p>
            <w:pPr>
              <w:jc w:val="center"/>
            </w:pPr>
            <w:r>
              <w:rPr>
                <w:rFonts w:ascii="Arial" w:hAnsi="Arial" w:eastAsia="Arial"/>
                <w:sz w:val="16"/>
              </w:rPr>
              <w:t>SI unifié, SMI2, IA, souveraineté, résilience</w:t>
            </w:r>
          </w:p>
        </w:tc>
      </w:tr>
    </w:tbl>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800"/>
            <w:shd w:fill="6C1D74"/>
            <w:tcMar>
              <w:top w:w="90" w:type="dxa"/>
              <w:start w:w="90" w:type="dxa"/>
              <w:bottom w:w="90" w:type="dxa"/>
              <w:end w:w="90" w:type="dxa"/>
            </w:tcMar>
            <w:vAlign w:val="top"/>
          </w:tcPr>
          <w:p>
            <w:pPr>
              <w:jc w:val="center"/>
            </w:pPr>
            <w:r>
              <w:rPr>
                <w:rFonts w:ascii="Arial" w:hAnsi="Arial" w:eastAsia="Arial"/>
                <w:b/>
                <w:color w:val="FFFFFF"/>
                <w:sz w:val="17"/>
              </w:rPr>
              <w:t>Sujet 2026</w:t>
            </w:r>
          </w:p>
        </w:tc>
        <w:tc>
          <w:tcPr>
            <w:tcW w:type="dxa" w:w="4100"/>
            <w:shd w:fill="6C1D74"/>
            <w:tcMar>
              <w:top w:w="90" w:type="dxa"/>
              <w:start w:w="90" w:type="dxa"/>
              <w:bottom w:w="90" w:type="dxa"/>
              <w:end w:w="90" w:type="dxa"/>
            </w:tcMar>
            <w:vAlign w:val="top"/>
          </w:tcPr>
          <w:p>
            <w:pPr>
              <w:jc w:val="center"/>
            </w:pPr>
            <w:r>
              <w:rPr>
                <w:rFonts w:ascii="Arial" w:hAnsi="Arial" w:eastAsia="Arial"/>
                <w:b/>
                <w:color w:val="FFFFFF"/>
                <w:sz w:val="17"/>
              </w:rPr>
              <w:t>Constat public</w:t>
            </w:r>
          </w:p>
        </w:tc>
        <w:tc>
          <w:tcPr>
            <w:tcW w:type="dxa" w:w="3600"/>
            <w:shd w:fill="6C1D74"/>
            <w:tcMar>
              <w:top w:w="90" w:type="dxa"/>
              <w:start w:w="90" w:type="dxa"/>
              <w:bottom w:w="90" w:type="dxa"/>
              <w:end w:w="90" w:type="dxa"/>
            </w:tcMar>
            <w:vAlign w:val="top"/>
          </w:tcPr>
          <w:p>
            <w:pPr>
              <w:jc w:val="center"/>
            </w:pPr>
            <w:r>
              <w:rPr>
                <w:rFonts w:ascii="Arial" w:hAnsi="Arial" w:eastAsia="Arial"/>
                <w:b/>
                <w:color w:val="FFFFFF"/>
                <w:sz w:val="17"/>
              </w:rPr>
              <w:t>Angle informatique / commercial</w:t>
            </w:r>
          </w:p>
        </w:tc>
      </w:tr>
      <w:tr>
        <w:tc>
          <w:tcPr>
            <w:tcW w:type="dxa" w:w="1800"/>
            <w:shd w:fill="FFFFFF"/>
            <w:tcMar>
              <w:top w:w="80" w:type="dxa"/>
              <w:start w:w="80" w:type="dxa"/>
              <w:bottom w:w="80" w:type="dxa"/>
              <w:end w:w="80" w:type="dxa"/>
            </w:tcMar>
            <w:vAlign w:val="top"/>
          </w:tcPr>
          <w:p>
            <w:r>
              <w:rPr>
                <w:rFonts w:ascii="Arial" w:hAnsi="Arial" w:eastAsia="Arial"/>
                <w:b/>
                <w:color w:val="4B0F4F"/>
                <w:sz w:val="15"/>
              </w:rPr>
              <w:t>Robustesse financière</w:t>
            </w:r>
          </w:p>
        </w:tc>
        <w:tc>
          <w:tcPr>
            <w:tcW w:type="dxa" w:w="4100"/>
            <w:shd w:fill="FFFFFF"/>
            <w:tcMar>
              <w:top w:w="80" w:type="dxa"/>
              <w:start w:w="80" w:type="dxa"/>
              <w:bottom w:w="80" w:type="dxa"/>
              <w:end w:w="80" w:type="dxa"/>
            </w:tcMar>
            <w:vAlign w:val="top"/>
          </w:tcPr>
          <w:p>
            <w:r>
              <w:rPr>
                <w:rFonts w:ascii="Arial" w:hAnsi="Arial" w:eastAsia="Arial"/>
                <w:sz w:val="15"/>
              </w:rPr>
              <w:t>En 2025, l’Agirc-Arrco annonce un résultat global de 1,4 Md€, avec un résultat technique de 0,3 Md€ et un résultat financier de 1,1 Md€. Les réserves disponibles sont annoncées à 91,2 Md€ en valeur de marché. [S3]</w:t>
            </w:r>
          </w:p>
        </w:tc>
        <w:tc>
          <w:tcPr>
            <w:tcW w:type="dxa" w:w="3600"/>
            <w:shd w:fill="FFFFFF"/>
            <w:tcMar>
              <w:top w:w="80" w:type="dxa"/>
              <w:start w:w="80" w:type="dxa"/>
              <w:bottom w:w="80" w:type="dxa"/>
              <w:end w:w="80" w:type="dxa"/>
            </w:tcMar>
            <w:vAlign w:val="top"/>
          </w:tcPr>
          <w:p>
            <w:r>
              <w:rPr>
                <w:rFonts w:ascii="Arial" w:hAnsi="Arial" w:eastAsia="Arial"/>
                <w:sz w:val="15"/>
              </w:rPr>
              <w:t>Message : le régime a les moyens de continuer à investir dans le service, mais dans une logique de maîtrise et d’efficience.</w:t>
            </w:r>
          </w:p>
        </w:tc>
      </w:tr>
      <w:tr>
        <w:tc>
          <w:tcPr>
            <w:tcW w:type="dxa" w:w="1800"/>
            <w:shd w:fill="F3F4F6"/>
            <w:tcMar>
              <w:top w:w="80" w:type="dxa"/>
              <w:start w:w="80" w:type="dxa"/>
              <w:bottom w:w="80" w:type="dxa"/>
              <w:end w:w="80" w:type="dxa"/>
            </w:tcMar>
            <w:vAlign w:val="top"/>
          </w:tcPr>
          <w:p>
            <w:r>
              <w:rPr>
                <w:rFonts w:ascii="Arial" w:hAnsi="Arial" w:eastAsia="Arial"/>
                <w:b/>
                <w:color w:val="4B0F4F"/>
                <w:sz w:val="15"/>
              </w:rPr>
              <w:t>Ralentissement économique et démographique</w:t>
            </w:r>
          </w:p>
        </w:tc>
        <w:tc>
          <w:tcPr>
            <w:tcW w:type="dxa" w:w="4100"/>
            <w:shd w:fill="F3F4F6"/>
            <w:tcMar>
              <w:top w:w="80" w:type="dxa"/>
              <w:start w:w="80" w:type="dxa"/>
              <w:bottom w:w="80" w:type="dxa"/>
              <w:end w:w="80" w:type="dxa"/>
            </w:tcMar>
            <w:vAlign w:val="top"/>
          </w:tcPr>
          <w:p>
            <w:r>
              <w:rPr>
                <w:rFonts w:ascii="Arial" w:hAnsi="Arial" w:eastAsia="Arial"/>
                <w:sz w:val="15"/>
              </w:rPr>
              <w:t>Le CP 2026 signale une progression des ressources plus lente que celle des dépenses : +1,9 % de ressources et +3,1 % de dépenses en 2025, avec hausse du nombre de retraités. [S3]</w:t>
            </w:r>
          </w:p>
        </w:tc>
        <w:tc>
          <w:tcPr>
            <w:tcW w:type="dxa" w:w="3600"/>
            <w:shd w:fill="F3F4F6"/>
            <w:tcMar>
              <w:top w:w="80" w:type="dxa"/>
              <w:start w:w="80" w:type="dxa"/>
              <w:bottom w:w="80" w:type="dxa"/>
              <w:end w:w="80" w:type="dxa"/>
            </w:tcMar>
            <w:vAlign w:val="top"/>
          </w:tcPr>
          <w:p>
            <w:r>
              <w:rPr>
                <w:rFonts w:ascii="Arial" w:hAnsi="Arial" w:eastAsia="Arial"/>
                <w:sz w:val="15"/>
              </w:rPr>
              <w:t>Message : les projets SI doivent aider à tenir la performance globale, la qualité de service et la maîtrise des coûts.</w:t>
            </w:r>
          </w:p>
        </w:tc>
      </w:tr>
      <w:tr>
        <w:tc>
          <w:tcPr>
            <w:tcW w:type="dxa" w:w="1800"/>
            <w:shd w:fill="FFFFFF"/>
            <w:tcMar>
              <w:top w:w="80" w:type="dxa"/>
              <w:start w:w="80" w:type="dxa"/>
              <w:bottom w:w="80" w:type="dxa"/>
              <w:end w:w="80" w:type="dxa"/>
            </w:tcMar>
            <w:vAlign w:val="top"/>
          </w:tcPr>
          <w:p>
            <w:r>
              <w:rPr>
                <w:rFonts w:ascii="Arial" w:hAnsi="Arial" w:eastAsia="Arial"/>
                <w:b/>
                <w:color w:val="4B0F4F"/>
                <w:sz w:val="15"/>
              </w:rPr>
              <w:t>Relation assurés sous tension</w:t>
            </w:r>
          </w:p>
        </w:tc>
        <w:tc>
          <w:tcPr>
            <w:tcW w:type="dxa" w:w="4100"/>
            <w:shd w:fill="FFFFFF"/>
            <w:tcMar>
              <w:top w:w="80" w:type="dxa"/>
              <w:start w:w="80" w:type="dxa"/>
              <w:bottom w:w="80" w:type="dxa"/>
              <w:end w:w="80" w:type="dxa"/>
            </w:tcMar>
            <w:vAlign w:val="top"/>
          </w:tcPr>
          <w:p>
            <w:r>
              <w:rPr>
                <w:rFonts w:ascii="Arial" w:hAnsi="Arial" w:eastAsia="Arial"/>
                <w:sz w:val="15"/>
              </w:rPr>
              <w:t>La suspension de la réforme des retraites a généré un besoin d’information inédit : +25 % de simulations et pic de connexion à 2,5 millions sur le simulateur retraite. [S4]</w:t>
            </w:r>
          </w:p>
        </w:tc>
        <w:tc>
          <w:tcPr>
            <w:tcW w:type="dxa" w:w="3600"/>
            <w:shd w:fill="FFFFFF"/>
            <w:tcMar>
              <w:top w:w="80" w:type="dxa"/>
              <w:start w:w="80" w:type="dxa"/>
              <w:bottom w:w="80" w:type="dxa"/>
              <w:end w:w="80" w:type="dxa"/>
            </w:tcMar>
            <w:vAlign w:val="top"/>
          </w:tcPr>
          <w:p>
            <w:r>
              <w:rPr>
                <w:rFonts w:ascii="Arial" w:hAnsi="Arial" w:eastAsia="Arial"/>
                <w:sz w:val="15"/>
              </w:rPr>
              <w:t>Message : la scalabilité des services en ligne et la lisibilité des parcours deviennent des sujets informatiques majeurs.</w:t>
            </w:r>
          </w:p>
        </w:tc>
      </w:tr>
      <w:tr>
        <w:tc>
          <w:tcPr>
            <w:tcW w:type="dxa" w:w="1800"/>
            <w:shd w:fill="F3F4F6"/>
            <w:tcMar>
              <w:top w:w="80" w:type="dxa"/>
              <w:start w:w="80" w:type="dxa"/>
              <w:bottom w:w="80" w:type="dxa"/>
              <w:end w:w="80" w:type="dxa"/>
            </w:tcMar>
            <w:vAlign w:val="top"/>
          </w:tcPr>
          <w:p>
            <w:r>
              <w:rPr>
                <w:rFonts w:ascii="Arial" w:hAnsi="Arial" w:eastAsia="Arial"/>
                <w:b/>
                <w:color w:val="4B0F4F"/>
                <w:sz w:val="15"/>
              </w:rPr>
              <w:t>Accompagnement de masse</w:t>
            </w:r>
          </w:p>
        </w:tc>
        <w:tc>
          <w:tcPr>
            <w:tcW w:type="dxa" w:w="4100"/>
            <w:shd w:fill="F3F4F6"/>
            <w:tcMar>
              <w:top w:w="80" w:type="dxa"/>
              <w:start w:w="80" w:type="dxa"/>
              <w:bottom w:w="80" w:type="dxa"/>
              <w:end w:w="80" w:type="dxa"/>
            </w:tcMar>
            <w:vAlign w:val="top"/>
          </w:tcPr>
          <w:p>
            <w:r>
              <w:rPr>
                <w:rFonts w:ascii="Arial" w:hAnsi="Arial" w:eastAsia="Arial"/>
                <w:sz w:val="15"/>
              </w:rPr>
              <w:t>Les Rencontres retraite de mars 2026 ont proposé 25 000 entretiens ; celles de juin 2026 ont proposé 12 500 rendez-vous, en complément de webinaires et des 600 lieux d’accueil. [S4]</w:t>
            </w:r>
          </w:p>
        </w:tc>
        <w:tc>
          <w:tcPr>
            <w:tcW w:type="dxa" w:w="3600"/>
            <w:shd w:fill="F3F4F6"/>
            <w:tcMar>
              <w:top w:w="80" w:type="dxa"/>
              <w:start w:w="80" w:type="dxa"/>
              <w:bottom w:w="80" w:type="dxa"/>
              <w:end w:w="80" w:type="dxa"/>
            </w:tcMar>
            <w:vAlign w:val="top"/>
          </w:tcPr>
          <w:p>
            <w:r>
              <w:rPr>
                <w:rFonts w:ascii="Arial" w:hAnsi="Arial" w:eastAsia="Arial"/>
                <w:sz w:val="15"/>
              </w:rPr>
              <w:t>Message : l’omnicanal doit articuler agences, téléphone, visio, webinaires, selfcare et espace personnel.</w:t>
            </w:r>
          </w:p>
        </w:tc>
      </w:tr>
      <w:tr>
        <w:tc>
          <w:tcPr>
            <w:tcW w:type="dxa" w:w="1800"/>
            <w:shd w:fill="FFFFFF"/>
            <w:tcMar>
              <w:top w:w="80" w:type="dxa"/>
              <w:start w:w="80" w:type="dxa"/>
              <w:bottom w:w="80" w:type="dxa"/>
              <w:end w:w="80" w:type="dxa"/>
            </w:tcMar>
            <w:vAlign w:val="top"/>
          </w:tcPr>
          <w:p>
            <w:r>
              <w:rPr>
                <w:rFonts w:ascii="Arial" w:hAnsi="Arial" w:eastAsia="Arial"/>
                <w:b/>
                <w:color w:val="4B0F4F"/>
                <w:sz w:val="15"/>
              </w:rPr>
              <w:t>Réglementaire 2026</w:t>
            </w:r>
          </w:p>
        </w:tc>
        <w:tc>
          <w:tcPr>
            <w:tcW w:type="dxa" w:w="4100"/>
            <w:shd w:fill="FFFFFF"/>
            <w:tcMar>
              <w:top w:w="80" w:type="dxa"/>
              <w:start w:w="80" w:type="dxa"/>
              <w:bottom w:w="80" w:type="dxa"/>
              <w:end w:w="80" w:type="dxa"/>
            </w:tcMar>
            <w:vAlign w:val="top"/>
          </w:tcPr>
          <w:p>
            <w:r>
              <w:rPr>
                <w:rFonts w:ascii="Arial" w:hAnsi="Arial" w:eastAsia="Arial"/>
                <w:sz w:val="15"/>
              </w:rPr>
              <w:t>La circulaire 2026-1-SG-DRJ porte sur la retraite progressive 2026, avec coefficients spécifiques et distinction de périodes selon les effets de la loi 2025-1403 pour certaines générations. [S5]</w:t>
            </w:r>
          </w:p>
        </w:tc>
        <w:tc>
          <w:tcPr>
            <w:tcW w:type="dxa" w:w="3600"/>
            <w:shd w:fill="FFFFFF"/>
            <w:tcMar>
              <w:top w:w="80" w:type="dxa"/>
              <w:start w:w="80" w:type="dxa"/>
              <w:bottom w:w="80" w:type="dxa"/>
              <w:end w:w="80" w:type="dxa"/>
            </w:tcMar>
            <w:vAlign w:val="top"/>
          </w:tcPr>
          <w:p>
            <w:r>
              <w:rPr>
                <w:rFonts w:ascii="Arial" w:hAnsi="Arial" w:eastAsia="Arial"/>
                <w:sz w:val="15"/>
              </w:rPr>
              <w:t>Message : les évolutions réglementaires imposent des capacités rapides d’intégration, recette, non-régression et mise en production maîtrisée.</w:t>
            </w:r>
          </w:p>
        </w:tc>
      </w:tr>
      <w:tr>
        <w:tc>
          <w:tcPr>
            <w:tcW w:type="dxa" w:w="1800"/>
            <w:shd w:fill="F3F4F6"/>
            <w:tcMar>
              <w:top w:w="80" w:type="dxa"/>
              <w:start w:w="80" w:type="dxa"/>
              <w:bottom w:w="80" w:type="dxa"/>
              <w:end w:w="80" w:type="dxa"/>
            </w:tcMar>
            <w:vAlign w:val="top"/>
          </w:tcPr>
          <w:p>
            <w:r>
              <w:rPr>
                <w:rFonts w:ascii="Arial" w:hAnsi="Arial" w:eastAsia="Arial"/>
                <w:b/>
                <w:color w:val="4B0F4F"/>
                <w:sz w:val="15"/>
              </w:rPr>
              <w:t>Fraude et confiance numérique</w:t>
            </w:r>
          </w:p>
        </w:tc>
        <w:tc>
          <w:tcPr>
            <w:tcW w:type="dxa" w:w="4100"/>
            <w:shd w:fill="F3F4F6"/>
            <w:tcMar>
              <w:top w:w="80" w:type="dxa"/>
              <w:start w:w="80" w:type="dxa"/>
              <w:bottom w:w="80" w:type="dxa"/>
              <w:end w:w="80" w:type="dxa"/>
            </w:tcMar>
            <w:vAlign w:val="top"/>
          </w:tcPr>
          <w:p>
            <w:r>
              <w:rPr>
                <w:rFonts w:ascii="Arial" w:hAnsi="Arial" w:eastAsia="Arial"/>
                <w:sz w:val="15"/>
              </w:rPr>
              <w:t>L’Agirc-Arrco alerte en juin 2026 sur des SMS, appels, courriels et publicités usurpant son identité et celle d’organismes de protection sociale. [S6]</w:t>
            </w:r>
          </w:p>
        </w:tc>
        <w:tc>
          <w:tcPr>
            <w:tcW w:type="dxa" w:w="3600"/>
            <w:shd w:fill="F3F4F6"/>
            <w:tcMar>
              <w:top w:w="80" w:type="dxa"/>
              <w:start w:w="80" w:type="dxa"/>
              <w:bottom w:w="80" w:type="dxa"/>
              <w:end w:w="80" w:type="dxa"/>
            </w:tcMar>
            <w:vAlign w:val="top"/>
          </w:tcPr>
          <w:p>
            <w:r>
              <w:rPr>
                <w:rFonts w:ascii="Arial" w:hAnsi="Arial" w:eastAsia="Arial"/>
                <w:sz w:val="15"/>
              </w:rPr>
              <w:t>Message : cybersécurité, identité numérique, sensibilisation, anti-phishing et sécurisation des parcours sont des préoccupations transverses.</w:t>
            </w:r>
          </w:p>
        </w:tc>
      </w:tr>
    </w:tbl>
    <w:tbl>
      <w:tblPr>
        <w:tblW w:type="auto" w:w="0"/>
        <w:jc w:val="center"/>
        <w:tblLook w:firstColumn="1" w:firstRow="1" w:lastColumn="0" w:lastRow="0" w:noHBand="0" w:noVBand="1" w:val="04A0"/>
      </w:tblPr>
      <w:tblGrid>
        <w:gridCol w:w="10426"/>
      </w:tblGrid>
      <w:tr>
        <w:tc>
          <w:tcPr>
            <w:tcW w:type="dxa" w:w="10426"/>
            <w:shd w:fill="FDECE5"/>
            <w:tcBorders>
              <w:top w:sz="12" w:val="single" w:color="F2673A"/>
              <w:left w:sz="12" w:val="single" w:color="F2673A"/>
              <w:bottom w:sz="12" w:val="single" w:color="F2673A"/>
              <w:right w:sz="12" w:val="single" w:color="F2673A"/>
            </w:tcBorders>
            <w:tcMar>
              <w:top w:w="160" w:type="dxa"/>
              <w:start w:w="160" w:type="dxa"/>
              <w:bottom w:w="160" w:type="dxa"/>
              <w:end w:w="160" w:type="dxa"/>
            </w:tcMar>
            <w:vAlign w:val="top"/>
          </w:tcPr>
          <w:p>
            <w:r>
              <w:rPr>
                <w:rFonts w:ascii="Arial" w:hAnsi="Arial" w:eastAsia="Arial"/>
                <w:b/>
                <w:color w:val="4B0F4F"/>
                <w:sz w:val="22"/>
              </w:rPr>
              <w:t>Ce qu’il faut faire sentir dans les échanges</w:t>
            </w:r>
          </w:p>
          <w:p>
            <w:r>
              <w:rPr>
                <w:rFonts w:ascii="Arial" w:hAnsi="Arial" w:eastAsia="Arial"/>
                <w:sz w:val="18"/>
              </w:rPr>
              <w:t>L’Agirc-Arrco est dans une logique de service public performant : sécuriser les droits, absorber les pics d’usage, simplifier les démarches, fiabiliser les données et garantir la continuité de service. Les bons interlocuteurs informatiques seront sensibles aux propositions qui combinent robustesse opérationnelle, maîtrise du risque et amélioration mesurable du service rendu.</w:t>
            </w:r>
          </w:p>
        </w:tc>
      </w:tr>
    </w:tbl>
    <w:p/>
    <w:p>
      <w:r>
        <w:br w:type="page"/>
      </w:r>
    </w:p>
    <w:p>
      <w:pPr>
        <w:jc w:val="left"/>
      </w:pPr>
      <w:r>
        <w:rPr>
          <w:b/>
          <w:color w:val="6C1D74"/>
          <w:sz w:val="36"/>
        </w:rPr>
        <w:t>3. Feuille de route SI 2026-2027</w:t>
      </w:r>
    </w:p>
    <w:p>
      <w:r>
        <w:rPr>
          <w:i/>
          <w:color w:val="2F2F2F"/>
          <w:sz w:val="20"/>
        </w:rPr>
        <w:t>La bascule clé : du PTSI au programme SMI2, avec RéSIlience comme socle de robustesse et de disponibilité.</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900"/>
            <w:shd w:fill="6C1D74"/>
            <w:tcMar>
              <w:top w:w="90" w:type="dxa"/>
              <w:start w:w="90" w:type="dxa"/>
              <w:bottom w:w="90" w:type="dxa"/>
              <w:end w:w="90" w:type="dxa"/>
            </w:tcMar>
            <w:vAlign w:val="top"/>
          </w:tcPr>
          <w:p>
            <w:pPr>
              <w:jc w:val="center"/>
            </w:pPr>
            <w:r>
              <w:rPr>
                <w:rFonts w:ascii="Arial" w:hAnsi="Arial" w:eastAsia="Arial"/>
                <w:b/>
                <w:color w:val="FFFFFF"/>
                <w:sz w:val="17"/>
              </w:rPr>
              <w:t>Période / programme</w:t>
            </w:r>
          </w:p>
        </w:tc>
        <w:tc>
          <w:tcPr>
            <w:tcW w:type="dxa" w:w="4400"/>
            <w:shd w:fill="6C1D74"/>
            <w:tcMar>
              <w:top w:w="90" w:type="dxa"/>
              <w:start w:w="90" w:type="dxa"/>
              <w:bottom w:w="90" w:type="dxa"/>
              <w:end w:w="90" w:type="dxa"/>
            </w:tcMar>
            <w:vAlign w:val="top"/>
          </w:tcPr>
          <w:p>
            <w:pPr>
              <w:jc w:val="center"/>
            </w:pPr>
            <w:r>
              <w:rPr>
                <w:rFonts w:ascii="Arial" w:hAnsi="Arial" w:eastAsia="Arial"/>
                <w:b/>
                <w:color w:val="FFFFFF"/>
                <w:sz w:val="17"/>
              </w:rPr>
              <w:t>Contenu public</w:t>
            </w:r>
          </w:p>
        </w:tc>
        <w:tc>
          <w:tcPr>
            <w:tcW w:type="dxa" w:w="3200"/>
            <w:shd w:fill="6C1D74"/>
            <w:tcMar>
              <w:top w:w="90" w:type="dxa"/>
              <w:start w:w="90" w:type="dxa"/>
              <w:bottom w:w="90" w:type="dxa"/>
              <w:end w:w="90" w:type="dxa"/>
            </w:tcMar>
            <w:vAlign w:val="top"/>
          </w:tcPr>
          <w:p>
            <w:pPr>
              <w:jc w:val="center"/>
            </w:pPr>
            <w:r>
              <w:rPr>
                <w:rFonts w:ascii="Arial" w:hAnsi="Arial" w:eastAsia="Arial"/>
                <w:b/>
                <w:color w:val="FFFFFF"/>
                <w:sz w:val="17"/>
              </w:rPr>
              <w:t>Lecture 2026-2027</w:t>
            </w:r>
          </w:p>
        </w:tc>
      </w:tr>
      <w:tr>
        <w:tc>
          <w:tcPr>
            <w:tcW w:type="dxa" w:w="1900"/>
            <w:shd w:fill="FFFFFF"/>
            <w:tcMar>
              <w:top w:w="80" w:type="dxa"/>
              <w:start w:w="80" w:type="dxa"/>
              <w:bottom w:w="80" w:type="dxa"/>
              <w:end w:w="80" w:type="dxa"/>
            </w:tcMar>
            <w:vAlign w:val="top"/>
          </w:tcPr>
          <w:p>
            <w:r>
              <w:rPr>
                <w:rFonts w:ascii="Arial" w:hAnsi="Arial" w:eastAsia="Arial"/>
                <w:b/>
                <w:color w:val="4B0F4F"/>
                <w:sz w:val="16"/>
              </w:rPr>
              <w:t>2015-2025 : PTSI</w:t>
            </w:r>
          </w:p>
        </w:tc>
        <w:tc>
          <w:tcPr>
            <w:tcW w:type="dxa" w:w="4400"/>
            <w:shd w:fill="FFFFFF"/>
            <w:tcMar>
              <w:top w:w="80" w:type="dxa"/>
              <w:start w:w="80" w:type="dxa"/>
              <w:bottom w:w="80" w:type="dxa"/>
              <w:end w:w="80" w:type="dxa"/>
            </w:tcMar>
            <w:vAlign w:val="top"/>
          </w:tcPr>
          <w:p>
            <w:r>
              <w:rPr>
                <w:rFonts w:ascii="Arial" w:hAnsi="Arial" w:eastAsia="Arial"/>
                <w:sz w:val="16"/>
              </w:rPr>
              <w:t>Transformation du SI de la retraite complémentaire vers un système centralisé unique pour l’ensemble des IRC, couvrant carrières, calcul des droits, liquidation, paiement et compte entreprise. [S1]</w:t>
            </w:r>
          </w:p>
        </w:tc>
        <w:tc>
          <w:tcPr>
            <w:tcW w:type="dxa" w:w="3200"/>
            <w:shd w:fill="FFFFFF"/>
            <w:tcMar>
              <w:top w:w="80" w:type="dxa"/>
              <w:start w:w="80" w:type="dxa"/>
              <w:bottom w:w="80" w:type="dxa"/>
              <w:end w:w="80" w:type="dxa"/>
            </w:tcMar>
            <w:vAlign w:val="top"/>
          </w:tcPr>
          <w:p>
            <w:r>
              <w:rPr>
                <w:rFonts w:ascii="Arial" w:hAnsi="Arial" w:eastAsia="Arial"/>
                <w:sz w:val="16"/>
              </w:rPr>
              <w:t>Cycle désormais présenté comme abouti. Le sujet 2026-2027 est la consolidation, la fiabilisation et l’évolution.</w:t>
            </w:r>
          </w:p>
        </w:tc>
      </w:tr>
      <w:tr>
        <w:tc>
          <w:tcPr>
            <w:tcW w:type="dxa" w:w="1900"/>
            <w:shd w:fill="F3F4F6"/>
            <w:tcMar>
              <w:top w:w="80" w:type="dxa"/>
              <w:start w:w="80" w:type="dxa"/>
              <w:bottom w:w="80" w:type="dxa"/>
              <w:end w:w="80" w:type="dxa"/>
            </w:tcMar>
            <w:vAlign w:val="top"/>
          </w:tcPr>
          <w:p>
            <w:r>
              <w:rPr>
                <w:rFonts w:ascii="Arial" w:hAnsi="Arial" w:eastAsia="Arial"/>
                <w:b/>
                <w:color w:val="4B0F4F"/>
                <w:sz w:val="16"/>
              </w:rPr>
              <w:t>2022-2026 : RéSIlience</w:t>
            </w:r>
          </w:p>
        </w:tc>
        <w:tc>
          <w:tcPr>
            <w:tcW w:type="dxa" w:w="4400"/>
            <w:shd w:fill="F3F4F6"/>
            <w:tcMar>
              <w:top w:w="80" w:type="dxa"/>
              <w:start w:w="80" w:type="dxa"/>
              <w:bottom w:w="80" w:type="dxa"/>
              <w:end w:w="80" w:type="dxa"/>
            </w:tcMar>
            <w:vAlign w:val="top"/>
          </w:tcPr>
          <w:p>
            <w:r>
              <w:rPr>
                <w:rFonts w:ascii="Arial" w:hAnsi="Arial" w:eastAsia="Arial"/>
                <w:sz w:val="16"/>
              </w:rPr>
              <w:t>Programme pluriannuel de robustesse et de continuité de fonctionnement : disponibilité 24/7, cybersécurité, stockage, archivage, sauvegarde, exploitation centralisée. [S1][S2]</w:t>
            </w:r>
          </w:p>
        </w:tc>
        <w:tc>
          <w:tcPr>
            <w:tcW w:type="dxa" w:w="3200"/>
            <w:shd w:fill="F3F4F6"/>
            <w:tcMar>
              <w:top w:w="80" w:type="dxa"/>
              <w:start w:w="80" w:type="dxa"/>
              <w:bottom w:w="80" w:type="dxa"/>
              <w:end w:w="80" w:type="dxa"/>
            </w:tcMar>
            <w:vAlign w:val="top"/>
          </w:tcPr>
          <w:p>
            <w:r>
              <w:rPr>
                <w:rFonts w:ascii="Arial" w:hAnsi="Arial" w:eastAsia="Arial"/>
                <w:sz w:val="16"/>
              </w:rPr>
              <w:t>Terrain naturel pour DTI et DRCP : infrastructure, sécurité, exploitation, ITSM, supervision.</w:t>
            </w:r>
          </w:p>
        </w:tc>
      </w:tr>
      <w:tr>
        <w:tc>
          <w:tcPr>
            <w:tcW w:type="dxa" w:w="1900"/>
            <w:shd w:fill="FFFFFF"/>
            <w:tcMar>
              <w:top w:w="80" w:type="dxa"/>
              <w:start w:w="80" w:type="dxa"/>
              <w:bottom w:w="80" w:type="dxa"/>
              <w:end w:w="80" w:type="dxa"/>
            </w:tcMar>
            <w:vAlign w:val="top"/>
          </w:tcPr>
          <w:p>
            <w:r>
              <w:rPr>
                <w:rFonts w:ascii="Arial" w:hAnsi="Arial" w:eastAsia="Arial"/>
                <w:b/>
                <w:color w:val="4B0F4F"/>
                <w:sz w:val="16"/>
              </w:rPr>
              <w:t>Fin 2025 -&gt; 2027 : SMI2</w:t>
            </w:r>
          </w:p>
        </w:tc>
        <w:tc>
          <w:tcPr>
            <w:tcW w:type="dxa" w:w="4400"/>
            <w:shd w:fill="FFFFFF"/>
            <w:tcMar>
              <w:top w:w="80" w:type="dxa"/>
              <w:start w:w="80" w:type="dxa"/>
              <w:bottom w:w="80" w:type="dxa"/>
              <w:end w:w="80" w:type="dxa"/>
            </w:tcMar>
            <w:vAlign w:val="top"/>
          </w:tcPr>
          <w:p>
            <w:r>
              <w:rPr>
                <w:rFonts w:ascii="Arial" w:hAnsi="Arial" w:eastAsia="Arial"/>
                <w:sz w:val="16"/>
              </w:rPr>
              <w:t>Nouveau programme Système modulaire et intelligent intégré, lancé par la DSI-RC, visant un SI modulaire, data-centric et capable d’intégrer les nouvelles technologies et l’IA. [S1]</w:t>
            </w:r>
          </w:p>
        </w:tc>
        <w:tc>
          <w:tcPr>
            <w:tcW w:type="dxa" w:w="3200"/>
            <w:shd w:fill="FFFFFF"/>
            <w:tcMar>
              <w:top w:w="80" w:type="dxa"/>
              <w:start w:w="80" w:type="dxa"/>
              <w:bottom w:w="80" w:type="dxa"/>
              <w:end w:w="80" w:type="dxa"/>
            </w:tcMar>
            <w:vAlign w:val="top"/>
          </w:tcPr>
          <w:p>
            <w:r>
              <w:rPr>
                <w:rFonts w:ascii="Arial" w:hAnsi="Arial" w:eastAsia="Arial"/>
                <w:sz w:val="16"/>
              </w:rPr>
              <w:t>Terrain naturel pour architectes, data, IA, DevSecOps, urbanisation, conduite du changement.</w:t>
            </w:r>
          </w:p>
        </w:tc>
      </w:tr>
      <w:tr>
        <w:tc>
          <w:tcPr>
            <w:tcW w:type="dxa" w:w="1900"/>
            <w:shd w:fill="F3F4F6"/>
            <w:tcMar>
              <w:top w:w="80" w:type="dxa"/>
              <w:start w:w="80" w:type="dxa"/>
              <w:bottom w:w="80" w:type="dxa"/>
              <w:end w:w="80" w:type="dxa"/>
            </w:tcMar>
            <w:vAlign w:val="top"/>
          </w:tcPr>
          <w:p>
            <w:r>
              <w:rPr>
                <w:rFonts w:ascii="Arial" w:hAnsi="Arial" w:eastAsia="Arial"/>
                <w:b/>
                <w:color w:val="4B0F4F"/>
                <w:sz w:val="16"/>
              </w:rPr>
              <w:t>2023-2026 : COM</w:t>
            </w:r>
          </w:p>
        </w:tc>
        <w:tc>
          <w:tcPr>
            <w:tcW w:type="dxa" w:w="4400"/>
            <w:shd w:fill="F3F4F6"/>
            <w:tcMar>
              <w:top w:w="80" w:type="dxa"/>
              <w:start w:w="80" w:type="dxa"/>
              <w:bottom w:w="80" w:type="dxa"/>
              <w:end w:w="80" w:type="dxa"/>
            </w:tcMar>
            <w:vAlign w:val="top"/>
          </w:tcPr>
          <w:p>
            <w:r>
              <w:rPr>
                <w:rFonts w:ascii="Arial" w:hAnsi="Arial" w:eastAsia="Arial"/>
                <w:sz w:val="16"/>
              </w:rPr>
              <w:t>Le contrat d’objectifs et de moyens encadre 45 indicateurs autour de la qualité de service, l’efficience, la relation assurés/entreprises et la performance du SI. [S1]</w:t>
            </w:r>
          </w:p>
        </w:tc>
        <w:tc>
          <w:tcPr>
            <w:tcW w:type="dxa" w:w="3200"/>
            <w:shd w:fill="F3F4F6"/>
            <w:tcMar>
              <w:top w:w="80" w:type="dxa"/>
              <w:start w:w="80" w:type="dxa"/>
              <w:bottom w:w="80" w:type="dxa"/>
              <w:end w:w="80" w:type="dxa"/>
            </w:tcMar>
            <w:vAlign w:val="top"/>
          </w:tcPr>
          <w:p>
            <w:r>
              <w:rPr>
                <w:rFonts w:ascii="Arial" w:hAnsi="Arial" w:eastAsia="Arial"/>
                <w:sz w:val="16"/>
              </w:rPr>
              <w:t>2026 est une année de clôture et de préparation de la prochaine feuille de route.</w:t>
            </w:r>
          </w:p>
        </w:tc>
      </w:tr>
      <w:tr>
        <w:tc>
          <w:tcPr>
            <w:tcW w:type="dxa" w:w="1900"/>
            <w:shd w:fill="FFFFFF"/>
            <w:tcMar>
              <w:top w:w="80" w:type="dxa"/>
              <w:start w:w="80" w:type="dxa"/>
              <w:bottom w:w="80" w:type="dxa"/>
              <w:end w:w="80" w:type="dxa"/>
            </w:tcMar>
            <w:vAlign w:val="top"/>
          </w:tcPr>
          <w:p>
            <w:r>
              <w:rPr>
                <w:rFonts w:ascii="Arial" w:hAnsi="Arial" w:eastAsia="Arial"/>
                <w:b/>
                <w:color w:val="4B0F4F"/>
                <w:sz w:val="16"/>
              </w:rPr>
              <w:t>2027 : prochaine trajectoire</w:t>
            </w:r>
          </w:p>
        </w:tc>
        <w:tc>
          <w:tcPr>
            <w:tcW w:type="dxa" w:w="4400"/>
            <w:shd w:fill="FFFFFF"/>
            <w:tcMar>
              <w:top w:w="80" w:type="dxa"/>
              <w:start w:w="80" w:type="dxa"/>
              <w:bottom w:w="80" w:type="dxa"/>
              <w:end w:w="80" w:type="dxa"/>
            </w:tcMar>
            <w:vAlign w:val="top"/>
          </w:tcPr>
          <w:p>
            <w:r>
              <w:rPr>
                <w:rFonts w:ascii="Arial" w:hAnsi="Arial" w:eastAsia="Arial"/>
                <w:sz w:val="16"/>
              </w:rPr>
              <w:t>Aucune feuille de route 2027 détaillée n’est publique à date. Les priorités probables dérivent de SMI2, RéSIlience, de la fin du COM 2023-2026 et de la nécessité de maintenir la qualité de service.</w:t>
            </w:r>
          </w:p>
        </w:tc>
        <w:tc>
          <w:tcPr>
            <w:tcW w:type="dxa" w:w="3200"/>
            <w:shd w:fill="FFFFFF"/>
            <w:tcMar>
              <w:top w:w="80" w:type="dxa"/>
              <w:start w:w="80" w:type="dxa"/>
              <w:bottom w:w="80" w:type="dxa"/>
              <w:end w:w="80" w:type="dxa"/>
            </w:tcMar>
            <w:vAlign w:val="top"/>
          </w:tcPr>
          <w:p>
            <w:r>
              <w:rPr>
                <w:rFonts w:ascii="Arial" w:hAnsi="Arial" w:eastAsia="Arial"/>
                <w:sz w:val="16"/>
              </w:rPr>
              <w:t>À formuler comme hypothèse à valider : « Comment anticipez-vous la nouvelle feuille de route post-COM ? »</w:t>
            </w:r>
          </w:p>
        </w:tc>
      </w:tr>
    </w:tbl>
    <w:p>
      <w:r>
        <w:rPr>
          <w:b/>
          <w:color w:val="4B0F4F"/>
          <w:sz w:val="24"/>
        </w:rPr>
        <w:t>Zoom SMI2 : les mots-clés à connaître</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2000"/>
            <w:shd w:fill="F2673A"/>
            <w:tcMar>
              <w:top w:w="90" w:type="dxa"/>
              <w:start w:w="90" w:type="dxa"/>
              <w:bottom w:w="90" w:type="dxa"/>
              <w:end w:w="90" w:type="dxa"/>
            </w:tcMar>
            <w:vAlign w:val="top"/>
          </w:tcPr>
          <w:p>
            <w:pPr>
              <w:jc w:val="center"/>
            </w:pPr>
            <w:r>
              <w:rPr>
                <w:rFonts w:ascii="Arial" w:hAnsi="Arial" w:eastAsia="Arial"/>
                <w:b/>
                <w:color w:val="FFFFFF"/>
                <w:sz w:val="17"/>
              </w:rPr>
              <w:t>Mot-clé</w:t>
            </w:r>
          </w:p>
        </w:tc>
        <w:tc>
          <w:tcPr>
            <w:tcW w:type="dxa" w:w="7200"/>
            <w:shd w:fill="F2673A"/>
            <w:tcMar>
              <w:top w:w="90" w:type="dxa"/>
              <w:start w:w="90" w:type="dxa"/>
              <w:bottom w:w="90" w:type="dxa"/>
              <w:end w:w="90" w:type="dxa"/>
            </w:tcMar>
            <w:vAlign w:val="top"/>
          </w:tcPr>
          <w:p>
            <w:pPr>
              <w:jc w:val="center"/>
            </w:pPr>
            <w:r>
              <w:rPr>
                <w:rFonts w:ascii="Arial" w:hAnsi="Arial" w:eastAsia="Arial"/>
                <w:b/>
                <w:color w:val="FFFFFF"/>
                <w:sz w:val="17"/>
              </w:rPr>
              <w:t>Traduction opérationnelle</w:t>
            </w:r>
          </w:p>
        </w:tc>
      </w:tr>
      <w:tr>
        <w:tc>
          <w:tcPr>
            <w:tcW w:type="dxa" w:w="2000"/>
            <w:shd w:fill="FFFFFF"/>
            <w:tcMar>
              <w:top w:w="80" w:type="dxa"/>
              <w:start w:w="80" w:type="dxa"/>
              <w:bottom w:w="80" w:type="dxa"/>
              <w:end w:w="80" w:type="dxa"/>
            </w:tcMar>
            <w:vAlign w:val="top"/>
          </w:tcPr>
          <w:p>
            <w:r>
              <w:rPr>
                <w:rFonts w:ascii="Arial" w:hAnsi="Arial" w:eastAsia="Arial"/>
                <w:b/>
                <w:color w:val="4B0F4F"/>
                <w:sz w:val="17"/>
              </w:rPr>
              <w:t>Modularité</w:t>
            </w:r>
          </w:p>
        </w:tc>
        <w:tc>
          <w:tcPr>
            <w:tcW w:type="dxa" w:w="7200"/>
            <w:shd w:fill="FFFFFF"/>
            <w:tcMar>
              <w:top w:w="80" w:type="dxa"/>
              <w:start w:w="80" w:type="dxa"/>
              <w:bottom w:w="80" w:type="dxa"/>
              <w:end w:w="80" w:type="dxa"/>
            </w:tcMar>
            <w:vAlign w:val="top"/>
          </w:tcPr>
          <w:p>
            <w:r>
              <w:rPr>
                <w:rFonts w:ascii="Arial" w:hAnsi="Arial" w:eastAsia="Arial"/>
                <w:sz w:val="17"/>
              </w:rPr>
              <w:t>Passer d’un SI centralisé stabilisé à une architecture plus flexible : découplage, APIs, composants, évolutivité.</w:t>
            </w:r>
          </w:p>
        </w:tc>
      </w:tr>
      <w:tr>
        <w:tc>
          <w:tcPr>
            <w:tcW w:type="dxa" w:w="2000"/>
            <w:shd w:fill="F3F4F6"/>
            <w:tcMar>
              <w:top w:w="80" w:type="dxa"/>
              <w:start w:w="80" w:type="dxa"/>
              <w:bottom w:w="80" w:type="dxa"/>
              <w:end w:w="80" w:type="dxa"/>
            </w:tcMar>
            <w:vAlign w:val="top"/>
          </w:tcPr>
          <w:p>
            <w:r>
              <w:rPr>
                <w:rFonts w:ascii="Arial" w:hAnsi="Arial" w:eastAsia="Arial"/>
                <w:b/>
                <w:color w:val="4B0F4F"/>
                <w:sz w:val="17"/>
              </w:rPr>
              <w:t>Donnée</w:t>
            </w:r>
          </w:p>
        </w:tc>
        <w:tc>
          <w:tcPr>
            <w:tcW w:type="dxa" w:w="7200"/>
            <w:shd w:fill="F3F4F6"/>
            <w:tcMar>
              <w:top w:w="80" w:type="dxa"/>
              <w:start w:w="80" w:type="dxa"/>
              <w:bottom w:w="80" w:type="dxa"/>
              <w:end w:w="80" w:type="dxa"/>
            </w:tcMar>
            <w:vAlign w:val="top"/>
          </w:tcPr>
          <w:p>
            <w:r>
              <w:rPr>
                <w:rFonts w:ascii="Arial" w:hAnsi="Arial" w:eastAsia="Arial"/>
                <w:sz w:val="17"/>
              </w:rPr>
              <w:t>Renforcer la gouvernance, la qualité, l’auditabilité et l’exploitation des données métiers et statistiques.</w:t>
            </w:r>
          </w:p>
        </w:tc>
      </w:tr>
      <w:tr>
        <w:tc>
          <w:tcPr>
            <w:tcW w:type="dxa" w:w="2000"/>
            <w:shd w:fill="FFFFFF"/>
            <w:tcMar>
              <w:top w:w="80" w:type="dxa"/>
              <w:start w:w="80" w:type="dxa"/>
              <w:bottom w:w="80" w:type="dxa"/>
              <w:end w:w="80" w:type="dxa"/>
            </w:tcMar>
            <w:vAlign w:val="top"/>
          </w:tcPr>
          <w:p>
            <w:r>
              <w:rPr>
                <w:rFonts w:ascii="Arial" w:hAnsi="Arial" w:eastAsia="Arial"/>
                <w:b/>
                <w:color w:val="4B0F4F"/>
                <w:sz w:val="17"/>
              </w:rPr>
              <w:t>IA maîtrisée</w:t>
            </w:r>
          </w:p>
        </w:tc>
        <w:tc>
          <w:tcPr>
            <w:tcW w:type="dxa" w:w="7200"/>
            <w:shd w:fill="FFFFFF"/>
            <w:tcMar>
              <w:top w:w="80" w:type="dxa"/>
              <w:start w:w="80" w:type="dxa"/>
              <w:bottom w:w="80" w:type="dxa"/>
              <w:end w:w="80" w:type="dxa"/>
            </w:tcMar>
            <w:vAlign w:val="top"/>
          </w:tcPr>
          <w:p>
            <w:r>
              <w:rPr>
                <w:rFonts w:ascii="Arial" w:hAnsi="Arial" w:eastAsia="Arial"/>
                <w:sz w:val="17"/>
              </w:rPr>
              <w:t>Intégrer l’IA au service des métiers et des utilisateurs, dans une logique contrôlée, documentée et sécurisée.</w:t>
            </w:r>
          </w:p>
        </w:tc>
      </w:tr>
      <w:tr>
        <w:tc>
          <w:tcPr>
            <w:tcW w:type="dxa" w:w="2000"/>
            <w:shd w:fill="F3F4F6"/>
            <w:tcMar>
              <w:top w:w="80" w:type="dxa"/>
              <w:start w:w="80" w:type="dxa"/>
              <w:bottom w:w="80" w:type="dxa"/>
              <w:end w:w="80" w:type="dxa"/>
            </w:tcMar>
            <w:vAlign w:val="top"/>
          </w:tcPr>
          <w:p>
            <w:r>
              <w:rPr>
                <w:rFonts w:ascii="Arial" w:hAnsi="Arial" w:eastAsia="Arial"/>
                <w:b/>
                <w:color w:val="4B0F4F"/>
                <w:sz w:val="17"/>
              </w:rPr>
              <w:t>Souveraineté</w:t>
            </w:r>
          </w:p>
        </w:tc>
        <w:tc>
          <w:tcPr>
            <w:tcW w:type="dxa" w:w="7200"/>
            <w:shd w:fill="F3F4F6"/>
            <w:tcMar>
              <w:top w:w="80" w:type="dxa"/>
              <w:start w:w="80" w:type="dxa"/>
              <w:bottom w:w="80" w:type="dxa"/>
              <w:end w:w="80" w:type="dxa"/>
            </w:tcMar>
            <w:vAlign w:val="top"/>
          </w:tcPr>
          <w:p>
            <w:r>
              <w:rPr>
                <w:rFonts w:ascii="Arial" w:hAnsi="Arial" w:eastAsia="Arial"/>
                <w:sz w:val="17"/>
              </w:rPr>
              <w:t>Réduire les dépendances éditeurs, renforcer l’hébergement local, capitaliser sur Gradignan et poursuivre l’open source.</w:t>
            </w:r>
          </w:p>
        </w:tc>
      </w:tr>
      <w:tr>
        <w:tc>
          <w:tcPr>
            <w:tcW w:type="dxa" w:w="2000"/>
            <w:shd w:fill="FFFFFF"/>
            <w:tcMar>
              <w:top w:w="80" w:type="dxa"/>
              <w:start w:w="80" w:type="dxa"/>
              <w:bottom w:w="80" w:type="dxa"/>
              <w:end w:w="80" w:type="dxa"/>
            </w:tcMar>
            <w:vAlign w:val="top"/>
          </w:tcPr>
          <w:p>
            <w:r>
              <w:rPr>
                <w:rFonts w:ascii="Arial" w:hAnsi="Arial" w:eastAsia="Arial"/>
                <w:b/>
                <w:color w:val="4B0F4F"/>
                <w:sz w:val="17"/>
              </w:rPr>
              <w:t>Compétences et modes de fonctionnement</w:t>
            </w:r>
          </w:p>
        </w:tc>
        <w:tc>
          <w:tcPr>
            <w:tcW w:type="dxa" w:w="7200"/>
            <w:shd w:fill="FFFFFF"/>
            <w:tcMar>
              <w:top w:w="80" w:type="dxa"/>
              <w:start w:w="80" w:type="dxa"/>
              <w:bottom w:w="80" w:type="dxa"/>
              <w:end w:w="80" w:type="dxa"/>
            </w:tcMar>
            <w:vAlign w:val="top"/>
          </w:tcPr>
          <w:p>
            <w:r>
              <w:rPr>
                <w:rFonts w:ascii="Arial" w:hAnsi="Arial" w:eastAsia="Arial"/>
                <w:sz w:val="17"/>
              </w:rPr>
              <w:t>Adapter les pratiques DSI : méthodes, outillage, gouvernance, acculturation, nouvelles compétences.</w:t>
            </w:r>
          </w:p>
        </w:tc>
      </w:tr>
      <w:tr>
        <w:tc>
          <w:tcPr>
            <w:tcW w:type="dxa" w:w="2000"/>
            <w:shd w:fill="F3F4F6"/>
            <w:tcMar>
              <w:top w:w="80" w:type="dxa"/>
              <w:start w:w="80" w:type="dxa"/>
              <w:bottom w:w="80" w:type="dxa"/>
              <w:end w:w="80" w:type="dxa"/>
            </w:tcMar>
            <w:vAlign w:val="top"/>
          </w:tcPr>
          <w:p>
            <w:r>
              <w:rPr>
                <w:rFonts w:ascii="Arial" w:hAnsi="Arial" w:eastAsia="Arial"/>
                <w:b/>
                <w:color w:val="4B0F4F"/>
                <w:sz w:val="17"/>
              </w:rPr>
              <w:t>Performance économique</w:t>
            </w:r>
          </w:p>
        </w:tc>
        <w:tc>
          <w:tcPr>
            <w:tcW w:type="dxa" w:w="7200"/>
            <w:shd w:fill="F3F4F6"/>
            <w:tcMar>
              <w:top w:w="80" w:type="dxa"/>
              <w:start w:w="80" w:type="dxa"/>
              <w:bottom w:w="80" w:type="dxa"/>
              <w:end w:w="80" w:type="dxa"/>
            </w:tcMar>
            <w:vAlign w:val="top"/>
          </w:tcPr>
          <w:p>
            <w:r>
              <w:rPr>
                <w:rFonts w:ascii="Arial" w:hAnsi="Arial" w:eastAsia="Arial"/>
                <w:sz w:val="17"/>
              </w:rPr>
              <w:t>Moderniser sans déraper : maintenir l’efficience, la qualité et le coût maîtrisé du SI-RC.</w:t>
            </w:r>
          </w:p>
        </w:tc>
      </w:tr>
    </w:tbl>
    <w:tbl>
      <w:tblPr>
        <w:tblW w:type="auto" w:w="0"/>
        <w:jc w:val="center"/>
        <w:tblLook w:firstColumn="1" w:firstRow="1" w:lastColumn="0" w:lastRow="0" w:noHBand="0" w:noVBand="1" w:val="04A0"/>
      </w:tblPr>
      <w:tblGrid>
        <w:gridCol w:w="10426"/>
      </w:tblGrid>
      <w:tr>
        <w:tc>
          <w:tcPr>
            <w:tcW w:type="dxa" w:w="10426"/>
            <w:shd w:fill="F2E7F3"/>
            <w:tcBorders>
              <w:top w:sz="12" w:val="single" w:color="6C1D74"/>
              <w:left w:sz="12" w:val="single" w:color="6C1D74"/>
              <w:bottom w:sz="12" w:val="single" w:color="6C1D74"/>
              <w:right w:sz="12" w:val="single" w:color="6C1D74"/>
            </w:tcBorders>
            <w:tcMar>
              <w:top w:w="160" w:type="dxa"/>
              <w:start w:w="160" w:type="dxa"/>
              <w:bottom w:w="160" w:type="dxa"/>
              <w:end w:w="160" w:type="dxa"/>
            </w:tcMar>
            <w:vAlign w:val="top"/>
          </w:tcPr>
          <w:p>
            <w:r>
              <w:rPr>
                <w:rFonts w:ascii="Arial" w:hAnsi="Arial" w:eastAsia="Arial"/>
                <w:b/>
                <w:color w:val="4B0F4F"/>
                <w:sz w:val="22"/>
              </w:rPr>
              <w:t>Phrase de synthèse à utiliser</w:t>
            </w:r>
          </w:p>
          <w:p>
            <w:r>
              <w:rPr>
                <w:rFonts w:ascii="Arial" w:hAnsi="Arial" w:eastAsia="Arial"/>
                <w:sz w:val="18"/>
              </w:rPr>
              <w:t>« J’ai compris que l’Agirc-Arrco entrait dans une nouvelle séquence : après l’unification du SI, la priorité devient la modularité, la donnée, la souveraineté, l’IA maîtrisée et la résilience opérationnelle. J’aimerais comprendre où se situent vos principaux points de tension aujourd’hui : architecture, production, recette, data ou compétences. »</w:t>
            </w:r>
          </w:p>
        </w:tc>
      </w:tr>
    </w:tbl>
    <w:p/>
    <w:p>
      <w:r>
        <w:br w:type="page"/>
      </w:r>
    </w:p>
    <w:p>
      <w:pPr>
        <w:jc w:val="left"/>
      </w:pPr>
      <w:r>
        <w:rPr>
          <w:b/>
          <w:color w:val="6C1D74"/>
          <w:sz w:val="36"/>
        </w:rPr>
        <w:t>4. Traduction par entité informatique : DTI, DRCP, CNRI</w:t>
      </w:r>
    </w:p>
    <w:p>
      <w:r>
        <w:rPr>
          <w:i/>
          <w:color w:val="2F2F2F"/>
          <w:sz w:val="20"/>
        </w:rPr>
        <w:t>L’objectif est de parler le langage de chaque entité, sans rester sur un discours DSI générique.</w:t>
      </w:r>
    </w:p>
    <w:tbl>
      <w:tblPr>
        <w:tblStyle w:val="TableGrid"/>
        <w:tblW w:type="auto" w:w="0"/>
        <w:jc w:val="center"/>
        <w:tblLook w:firstColumn="1" w:firstRow="1" w:lastColumn="0" w:lastRow="0" w:noHBand="0" w:noVBand="1" w:val="04A0"/>
      </w:tblPr>
      <w:tblGrid>
        <w:gridCol w:w="2606"/>
        <w:gridCol w:w="2606"/>
        <w:gridCol w:w="2606"/>
        <w:gridCol w:w="2606"/>
      </w:tblGrid>
      <w:tr>
        <w:trPr>
          <w:tblHeader w:val="true"/>
        </w:trPr>
        <w:tc>
          <w:tcPr>
            <w:tcW w:type="dxa" w:w="1700"/>
            <w:shd w:fill="6C1D74"/>
            <w:tcMar>
              <w:top w:w="90" w:type="dxa"/>
              <w:start w:w="90" w:type="dxa"/>
              <w:bottom w:w="90" w:type="dxa"/>
              <w:end w:w="90" w:type="dxa"/>
            </w:tcMar>
            <w:vAlign w:val="top"/>
          </w:tcPr>
          <w:p>
            <w:pPr>
              <w:jc w:val="center"/>
            </w:pPr>
            <w:r>
              <w:rPr>
                <w:rFonts w:ascii="Arial" w:hAnsi="Arial" w:eastAsia="Arial"/>
                <w:b/>
                <w:color w:val="FFFFFF"/>
                <w:sz w:val="17"/>
              </w:rPr>
              <w:t>Entité</w:t>
            </w:r>
          </w:p>
        </w:tc>
        <w:tc>
          <w:tcPr>
            <w:tcW w:type="dxa" w:w="2700"/>
            <w:shd w:fill="6C1D74"/>
            <w:tcMar>
              <w:top w:w="90" w:type="dxa"/>
              <w:start w:w="90" w:type="dxa"/>
              <w:bottom w:w="90" w:type="dxa"/>
              <w:end w:w="90" w:type="dxa"/>
            </w:tcMar>
            <w:vAlign w:val="top"/>
          </w:tcPr>
          <w:p>
            <w:pPr>
              <w:jc w:val="center"/>
            </w:pPr>
            <w:r>
              <w:rPr>
                <w:rFonts w:ascii="Arial" w:hAnsi="Arial" w:eastAsia="Arial"/>
                <w:b/>
                <w:color w:val="FFFFFF"/>
                <w:sz w:val="17"/>
              </w:rPr>
              <w:t>Lecture du périmètre</w:t>
            </w:r>
          </w:p>
        </w:tc>
        <w:tc>
          <w:tcPr>
            <w:tcW w:type="dxa" w:w="3100"/>
            <w:shd w:fill="6C1D74"/>
            <w:tcMar>
              <w:top w:w="90" w:type="dxa"/>
              <w:start w:w="90" w:type="dxa"/>
              <w:bottom w:w="90" w:type="dxa"/>
              <w:end w:w="90" w:type="dxa"/>
            </w:tcMar>
            <w:vAlign w:val="top"/>
          </w:tcPr>
          <w:p>
            <w:pPr>
              <w:jc w:val="center"/>
            </w:pPr>
            <w:r>
              <w:rPr>
                <w:rFonts w:ascii="Arial" w:hAnsi="Arial" w:eastAsia="Arial"/>
                <w:b/>
                <w:color w:val="FFFFFF"/>
                <w:sz w:val="17"/>
              </w:rPr>
              <w:t>Sujets 2026-2027 à raccrocher</w:t>
            </w:r>
          </w:p>
        </w:tc>
        <w:tc>
          <w:tcPr>
            <w:tcW w:type="dxa" w:w="2600"/>
            <w:shd w:fill="6C1D74"/>
            <w:tcMar>
              <w:top w:w="90" w:type="dxa"/>
              <w:start w:w="90" w:type="dxa"/>
              <w:bottom w:w="90" w:type="dxa"/>
              <w:end w:w="90" w:type="dxa"/>
            </w:tcMar>
            <w:vAlign w:val="top"/>
          </w:tcPr>
          <w:p>
            <w:pPr>
              <w:jc w:val="center"/>
            </w:pPr>
            <w:r>
              <w:rPr>
                <w:rFonts w:ascii="Arial" w:hAnsi="Arial" w:eastAsia="Arial"/>
                <w:b/>
                <w:color w:val="FFFFFF"/>
                <w:sz w:val="17"/>
              </w:rPr>
              <w:t>Profils à proposer</w:t>
            </w:r>
          </w:p>
        </w:tc>
      </w:tr>
      <w:tr>
        <w:tc>
          <w:tcPr>
            <w:tcW w:type="dxa" w:w="1700"/>
            <w:shd w:fill="FFFFFF"/>
            <w:tcMar>
              <w:top w:w="80" w:type="dxa"/>
              <w:start w:w="80" w:type="dxa"/>
              <w:bottom w:w="80" w:type="dxa"/>
              <w:end w:w="80" w:type="dxa"/>
            </w:tcMar>
            <w:vAlign w:val="top"/>
          </w:tcPr>
          <w:p>
            <w:r>
              <w:rPr>
                <w:rFonts w:ascii="Arial" w:hAnsi="Arial" w:eastAsia="Arial"/>
                <w:b/>
                <w:color w:val="4B0F4F"/>
                <w:sz w:val="14"/>
              </w:rPr>
              <w:t>DTI</w:t>
              <w:br/>
              <w:t>Direction Technique Informatique</w:t>
            </w:r>
          </w:p>
        </w:tc>
        <w:tc>
          <w:tcPr>
            <w:tcW w:type="dxa" w:w="2700"/>
            <w:shd w:fill="FFFFFF"/>
            <w:tcMar>
              <w:top w:w="80" w:type="dxa"/>
              <w:start w:w="80" w:type="dxa"/>
              <w:bottom w:w="80" w:type="dxa"/>
              <w:end w:w="80" w:type="dxa"/>
            </w:tcMar>
            <w:vAlign w:val="top"/>
          </w:tcPr>
          <w:p>
            <w:r>
              <w:rPr>
                <w:rFonts w:ascii="Arial" w:hAnsi="Arial" w:eastAsia="Arial"/>
                <w:sz w:val="14"/>
              </w:rPr>
              <w:t>Architecture, socle technique, infrastructures, middleware, sécurité technique, stockage, sauvegarde, hébergement, open source, souveraineté.</w:t>
            </w:r>
          </w:p>
        </w:tc>
        <w:tc>
          <w:tcPr>
            <w:tcW w:type="dxa" w:w="3100"/>
            <w:shd w:fill="FFFFFF"/>
            <w:tcMar>
              <w:top w:w="80" w:type="dxa"/>
              <w:start w:w="80" w:type="dxa"/>
              <w:bottom w:w="80" w:type="dxa"/>
              <w:end w:w="80" w:type="dxa"/>
            </w:tcMar>
            <w:vAlign w:val="top"/>
          </w:tcPr>
          <w:p>
            <w:r>
              <w:rPr>
                <w:rFonts w:ascii="Arial" w:hAnsi="Arial" w:eastAsia="Arial"/>
                <w:sz w:val="14"/>
              </w:rPr>
              <w:t>SMI2, souveraineté, stratégie d’hébergement local, datacenter Gradignan, logiciels ouverts, sécurité des accès aux bases, modernisation stockage/archivage/sauvegarde. [S1]</w:t>
            </w:r>
          </w:p>
        </w:tc>
        <w:tc>
          <w:tcPr>
            <w:tcW w:type="dxa" w:w="2600"/>
            <w:shd w:fill="FFFFFF"/>
            <w:tcMar>
              <w:top w:w="80" w:type="dxa"/>
              <w:start w:w="80" w:type="dxa"/>
              <w:bottom w:w="80" w:type="dxa"/>
              <w:end w:w="80" w:type="dxa"/>
            </w:tcMar>
            <w:vAlign w:val="top"/>
          </w:tcPr>
          <w:p>
            <w:r>
              <w:rPr>
                <w:rFonts w:ascii="Arial" w:hAnsi="Arial" w:eastAsia="Arial"/>
                <w:sz w:val="14"/>
              </w:rPr>
              <w:t>Architecte SI, architecte technique, expert middleware, expert cloud/souveraineté, ingénieur infrastructure, expert IAM/DB security, DevSecOps, cybersécurité.</w:t>
            </w:r>
          </w:p>
        </w:tc>
      </w:tr>
      <w:tr>
        <w:tc>
          <w:tcPr>
            <w:tcW w:type="dxa" w:w="1700"/>
            <w:shd w:fill="F3F4F6"/>
            <w:tcMar>
              <w:top w:w="80" w:type="dxa"/>
              <w:start w:w="80" w:type="dxa"/>
              <w:bottom w:w="80" w:type="dxa"/>
              <w:end w:w="80" w:type="dxa"/>
            </w:tcMar>
            <w:vAlign w:val="top"/>
          </w:tcPr>
          <w:p>
            <w:r>
              <w:rPr>
                <w:rFonts w:ascii="Arial" w:hAnsi="Arial" w:eastAsia="Arial"/>
                <w:b/>
                <w:color w:val="4B0F4F"/>
                <w:sz w:val="14"/>
              </w:rPr>
              <w:t>DRCP</w:t>
              <w:br/>
              <w:t>Relation Client &amp; Production</w:t>
            </w:r>
          </w:p>
        </w:tc>
        <w:tc>
          <w:tcPr>
            <w:tcW w:type="dxa" w:w="2700"/>
            <w:shd w:fill="F3F4F6"/>
            <w:tcMar>
              <w:top w:w="80" w:type="dxa"/>
              <w:start w:w="80" w:type="dxa"/>
              <w:bottom w:w="80" w:type="dxa"/>
              <w:end w:w="80" w:type="dxa"/>
            </w:tcMar>
            <w:vAlign w:val="top"/>
          </w:tcPr>
          <w:p>
            <w:r>
              <w:rPr>
                <w:rFonts w:ascii="Arial" w:hAnsi="Arial" w:eastAsia="Arial"/>
                <w:sz w:val="14"/>
              </w:rPr>
              <w:t>Production, exploitation, supervision, relation client interne, disponibilité applicative, incidents, changements, qualité de service, run 24/7.</w:t>
            </w:r>
          </w:p>
        </w:tc>
        <w:tc>
          <w:tcPr>
            <w:tcW w:type="dxa" w:w="3100"/>
            <w:shd w:fill="F3F4F6"/>
            <w:tcMar>
              <w:top w:w="80" w:type="dxa"/>
              <w:start w:w="80" w:type="dxa"/>
              <w:bottom w:w="80" w:type="dxa"/>
              <w:end w:w="80" w:type="dxa"/>
            </w:tcMar>
            <w:vAlign w:val="top"/>
          </w:tcPr>
          <w:p>
            <w:r>
              <w:rPr>
                <w:rFonts w:ascii="Arial" w:hAnsi="Arial" w:eastAsia="Arial"/>
                <w:sz w:val="14"/>
              </w:rPr>
              <w:t>RéSIlience, centralisation de l’exploitation, disponibilité SI-RC de 99,93 %, continuité 24/7, absorption des pics de charge liés aux campagnes et aux simulations. [S1]</w:t>
            </w:r>
          </w:p>
        </w:tc>
        <w:tc>
          <w:tcPr>
            <w:tcW w:type="dxa" w:w="2600"/>
            <w:shd w:fill="F3F4F6"/>
            <w:tcMar>
              <w:top w:w="80" w:type="dxa"/>
              <w:start w:w="80" w:type="dxa"/>
              <w:bottom w:w="80" w:type="dxa"/>
              <w:end w:w="80" w:type="dxa"/>
            </w:tcMar>
            <w:vAlign w:val="top"/>
          </w:tcPr>
          <w:p>
            <w:r>
              <w:rPr>
                <w:rFonts w:ascii="Arial" w:hAnsi="Arial" w:eastAsia="Arial"/>
                <w:sz w:val="14"/>
              </w:rPr>
              <w:t>Service Delivery Manager, responsable exploitation, SRE, expert observabilité, PMO run, incident/change manager, analyste performance, expert ITSM.</w:t>
            </w:r>
          </w:p>
        </w:tc>
      </w:tr>
      <w:tr>
        <w:tc>
          <w:tcPr>
            <w:tcW w:type="dxa" w:w="1700"/>
            <w:shd w:fill="FFFFFF"/>
            <w:tcMar>
              <w:top w:w="80" w:type="dxa"/>
              <w:start w:w="80" w:type="dxa"/>
              <w:bottom w:w="80" w:type="dxa"/>
              <w:end w:w="80" w:type="dxa"/>
            </w:tcMar>
            <w:vAlign w:val="top"/>
          </w:tcPr>
          <w:p>
            <w:r>
              <w:rPr>
                <w:rFonts w:ascii="Arial" w:hAnsi="Arial" w:eastAsia="Arial"/>
                <w:b/>
                <w:color w:val="4B0F4F"/>
                <w:sz w:val="14"/>
              </w:rPr>
              <w:t>CNRI</w:t>
              <w:br/>
              <w:t>Centre National de Recette et d’Intégration</w:t>
            </w:r>
          </w:p>
        </w:tc>
        <w:tc>
          <w:tcPr>
            <w:tcW w:type="dxa" w:w="2700"/>
            <w:shd w:fill="FFFFFF"/>
            <w:tcMar>
              <w:top w:w="80" w:type="dxa"/>
              <w:start w:w="80" w:type="dxa"/>
              <w:bottom w:w="80" w:type="dxa"/>
              <w:end w:w="80" w:type="dxa"/>
            </w:tcMar>
            <w:vAlign w:val="top"/>
          </w:tcPr>
          <w:p>
            <w:r>
              <w:rPr>
                <w:rFonts w:ascii="Arial" w:hAnsi="Arial" w:eastAsia="Arial"/>
                <w:sz w:val="14"/>
              </w:rPr>
              <w:t>Recette, qualification, intégration, tests, validation avant mise en production, gestion des anomalies, non-régression.</w:t>
            </w:r>
          </w:p>
        </w:tc>
        <w:tc>
          <w:tcPr>
            <w:tcW w:type="dxa" w:w="3100"/>
            <w:shd w:fill="FFFFFF"/>
            <w:tcMar>
              <w:top w:w="80" w:type="dxa"/>
              <w:start w:w="80" w:type="dxa"/>
              <w:bottom w:w="80" w:type="dxa"/>
              <w:end w:w="80" w:type="dxa"/>
            </w:tcMar>
            <w:vAlign w:val="top"/>
          </w:tcPr>
          <w:p>
            <w:r>
              <w:rPr>
                <w:rFonts w:ascii="Arial" w:hAnsi="Arial" w:eastAsia="Arial"/>
                <w:sz w:val="14"/>
              </w:rPr>
              <w:t>Évolutions réglementaires rapides, SI central de paiement, plateformes unifiées, retraite progressive 2026, parcours assurés/entreprises, exigences de qualité de livraison du PTSI/SMI2. [S1][S5]</w:t>
            </w:r>
          </w:p>
        </w:tc>
        <w:tc>
          <w:tcPr>
            <w:tcW w:type="dxa" w:w="2600"/>
            <w:shd w:fill="FFFFFF"/>
            <w:tcMar>
              <w:top w:w="80" w:type="dxa"/>
              <w:start w:w="80" w:type="dxa"/>
              <w:bottom w:w="80" w:type="dxa"/>
              <w:end w:w="80" w:type="dxa"/>
            </w:tcMar>
            <w:vAlign w:val="top"/>
          </w:tcPr>
          <w:p>
            <w:r>
              <w:rPr>
                <w:rFonts w:ascii="Arial" w:hAnsi="Arial" w:eastAsia="Arial"/>
                <w:sz w:val="14"/>
              </w:rPr>
              <w:t>Test manager, automaticien de test, QA fonctionnel retraite, ingénieur intégration, référent non-régression, analyste d’anomalies, chef de projet recette.</w:t>
            </w:r>
          </w:p>
        </w:tc>
      </w:tr>
      <w:tr>
        <w:tc>
          <w:tcPr>
            <w:tcW w:type="dxa" w:w="1700"/>
            <w:shd w:fill="F3F4F6"/>
            <w:tcMar>
              <w:top w:w="80" w:type="dxa"/>
              <w:start w:w="80" w:type="dxa"/>
              <w:bottom w:w="80" w:type="dxa"/>
              <w:end w:w="80" w:type="dxa"/>
            </w:tcMar>
            <w:vAlign w:val="top"/>
          </w:tcPr>
          <w:p>
            <w:r>
              <w:rPr>
                <w:rFonts w:ascii="Arial" w:hAnsi="Arial" w:eastAsia="Arial"/>
                <w:b/>
                <w:color w:val="4B0F4F"/>
                <w:sz w:val="14"/>
              </w:rPr>
              <w:t>Transverse DSI-RC</w:t>
            </w:r>
          </w:p>
        </w:tc>
        <w:tc>
          <w:tcPr>
            <w:tcW w:type="dxa" w:w="2700"/>
            <w:shd w:fill="F3F4F6"/>
            <w:tcMar>
              <w:top w:w="80" w:type="dxa"/>
              <w:start w:w="80" w:type="dxa"/>
              <w:bottom w:w="80" w:type="dxa"/>
              <w:end w:w="80" w:type="dxa"/>
            </w:tcMar>
            <w:vAlign w:val="top"/>
          </w:tcPr>
          <w:p>
            <w:r>
              <w:rPr>
                <w:rFonts w:ascii="Arial" w:hAnsi="Arial" w:eastAsia="Arial"/>
                <w:sz w:val="14"/>
              </w:rPr>
              <w:t>Pilotage portefeuille, sécurité, data, IA, conduite du changement, UX, relation métiers, qualité, performance économique.</w:t>
            </w:r>
          </w:p>
        </w:tc>
        <w:tc>
          <w:tcPr>
            <w:tcW w:type="dxa" w:w="3100"/>
            <w:shd w:fill="F3F4F6"/>
            <w:tcMar>
              <w:top w:w="80" w:type="dxa"/>
              <w:start w:w="80" w:type="dxa"/>
              <w:bottom w:w="80" w:type="dxa"/>
              <w:end w:w="80" w:type="dxa"/>
            </w:tcMar>
            <w:vAlign w:val="top"/>
          </w:tcPr>
          <w:p>
            <w:r>
              <w:rPr>
                <w:rFonts w:ascii="Arial" w:hAnsi="Arial" w:eastAsia="Arial"/>
                <w:sz w:val="14"/>
              </w:rPr>
              <w:t>SMI2, COM post-2026, gouvernance data, IA raisonnée, relation client omnicanale, e-services, accessibilité, ROSE/DSN-Fiab. [S1]</w:t>
            </w:r>
          </w:p>
        </w:tc>
        <w:tc>
          <w:tcPr>
            <w:tcW w:type="dxa" w:w="2600"/>
            <w:shd w:fill="F3F4F6"/>
            <w:tcMar>
              <w:top w:w="80" w:type="dxa"/>
              <w:start w:w="80" w:type="dxa"/>
              <w:bottom w:w="80" w:type="dxa"/>
              <w:end w:w="80" w:type="dxa"/>
            </w:tcMar>
            <w:vAlign w:val="top"/>
          </w:tcPr>
          <w:p>
            <w:r>
              <w:rPr>
                <w:rFonts w:ascii="Arial" w:hAnsi="Arial" w:eastAsia="Arial"/>
                <w:sz w:val="14"/>
              </w:rPr>
              <w:t>PMO stratégique, consultant transformation SI, data governance, product owner, UX researcher, consultant IA responsable, urbaniste SI, coach agile.</w:t>
            </w:r>
          </w:p>
        </w:tc>
      </w:tr>
    </w:tbl>
    <w:p>
      <w:r>
        <w:rPr>
          <w:b/>
          <w:color w:val="4B0F4F"/>
          <w:sz w:val="24"/>
        </w:rPr>
        <w:t>Matrice de priorisation des sujets par entité</w:t>
      </w:r>
    </w:p>
    <w:tbl>
      <w:tblPr>
        <w:tblStyle w:val="TableGrid"/>
        <w:tblW w:type="auto" w:w="0"/>
        <w:jc w:val="center"/>
        <w:tblLook w:firstColumn="1" w:firstRow="1" w:lastColumn="0" w:lastRow="0" w:noHBand="0" w:noVBand="1" w:val="04A0"/>
      </w:tblPr>
      <w:tblGrid>
        <w:gridCol w:w="2085"/>
        <w:gridCol w:w="2085"/>
        <w:gridCol w:w="2085"/>
        <w:gridCol w:w="2085"/>
        <w:gridCol w:w="2085"/>
      </w:tblGrid>
      <w:tr>
        <w:trPr>
          <w:tblHeader w:val="true"/>
        </w:trPr>
        <w:tc>
          <w:tcPr>
            <w:tcW w:type="dxa" w:w="3600"/>
            <w:shd w:fill="6C1D74"/>
            <w:tcMar>
              <w:top w:w="90" w:type="dxa"/>
              <w:start w:w="90" w:type="dxa"/>
              <w:bottom w:w="90" w:type="dxa"/>
              <w:end w:w="90" w:type="dxa"/>
            </w:tcMar>
            <w:vAlign w:val="top"/>
          </w:tcPr>
          <w:p>
            <w:pPr>
              <w:jc w:val="center"/>
            </w:pPr>
            <w:r>
              <w:rPr>
                <w:rFonts w:ascii="Arial" w:hAnsi="Arial" w:eastAsia="Arial"/>
                <w:b/>
                <w:color w:val="FFFFFF"/>
                <w:sz w:val="17"/>
              </w:rPr>
              <w:t>Sujet</w:t>
            </w:r>
          </w:p>
        </w:tc>
        <w:tc>
          <w:tcPr>
            <w:tcW w:type="dxa" w:w="1300"/>
            <w:shd w:fill="6C1D74"/>
            <w:tcMar>
              <w:top w:w="90" w:type="dxa"/>
              <w:start w:w="90" w:type="dxa"/>
              <w:bottom w:w="90" w:type="dxa"/>
              <w:end w:w="90" w:type="dxa"/>
            </w:tcMar>
            <w:vAlign w:val="top"/>
          </w:tcPr>
          <w:p>
            <w:pPr>
              <w:jc w:val="center"/>
            </w:pPr>
            <w:r>
              <w:rPr>
                <w:rFonts w:ascii="Arial" w:hAnsi="Arial" w:eastAsia="Arial"/>
                <w:b/>
                <w:color w:val="FFFFFF"/>
                <w:sz w:val="17"/>
              </w:rPr>
              <w:t>DTI</w:t>
            </w:r>
          </w:p>
        </w:tc>
        <w:tc>
          <w:tcPr>
            <w:tcW w:type="dxa" w:w="1300"/>
            <w:shd w:fill="6C1D74"/>
            <w:tcMar>
              <w:top w:w="90" w:type="dxa"/>
              <w:start w:w="90" w:type="dxa"/>
              <w:bottom w:w="90" w:type="dxa"/>
              <w:end w:w="90" w:type="dxa"/>
            </w:tcMar>
            <w:vAlign w:val="top"/>
          </w:tcPr>
          <w:p>
            <w:pPr>
              <w:jc w:val="center"/>
            </w:pPr>
            <w:r>
              <w:rPr>
                <w:rFonts w:ascii="Arial" w:hAnsi="Arial" w:eastAsia="Arial"/>
                <w:b/>
                <w:color w:val="FFFFFF"/>
                <w:sz w:val="17"/>
              </w:rPr>
              <w:t>DRCP</w:t>
            </w:r>
          </w:p>
        </w:tc>
        <w:tc>
          <w:tcPr>
            <w:tcW w:type="dxa" w:w="1300"/>
            <w:shd w:fill="6C1D74"/>
            <w:tcMar>
              <w:top w:w="90" w:type="dxa"/>
              <w:start w:w="90" w:type="dxa"/>
              <w:bottom w:w="90" w:type="dxa"/>
              <w:end w:w="90" w:type="dxa"/>
            </w:tcMar>
            <w:vAlign w:val="top"/>
          </w:tcPr>
          <w:p>
            <w:pPr>
              <w:jc w:val="center"/>
            </w:pPr>
            <w:r>
              <w:rPr>
                <w:rFonts w:ascii="Arial" w:hAnsi="Arial" w:eastAsia="Arial"/>
                <w:b/>
                <w:color w:val="FFFFFF"/>
                <w:sz w:val="17"/>
              </w:rPr>
              <w:t>CNRI</w:t>
            </w:r>
          </w:p>
        </w:tc>
        <w:tc>
          <w:tcPr>
            <w:tcW w:type="dxa" w:w="1700"/>
            <w:shd w:fill="6C1D74"/>
            <w:tcMar>
              <w:top w:w="90" w:type="dxa"/>
              <w:start w:w="90" w:type="dxa"/>
              <w:bottom w:w="90" w:type="dxa"/>
              <w:end w:w="90" w:type="dxa"/>
            </w:tcMar>
            <w:vAlign w:val="top"/>
          </w:tcPr>
          <w:p>
            <w:pPr>
              <w:jc w:val="center"/>
            </w:pPr>
            <w:r>
              <w:rPr>
                <w:rFonts w:ascii="Arial" w:hAnsi="Arial" w:eastAsia="Arial"/>
                <w:b/>
                <w:color w:val="FFFFFF"/>
                <w:sz w:val="17"/>
              </w:rPr>
              <w:t>Transverse DSI</w:t>
            </w:r>
          </w:p>
        </w:tc>
      </w:tr>
      <w:tr>
        <w:tc>
          <w:tcPr>
            <w:tcW w:type="dxa" w:w="3600"/>
            <w:shd w:fill="FFFFFF"/>
            <w:tcMar>
              <w:top w:w="80" w:type="dxa"/>
              <w:start w:w="80" w:type="dxa"/>
              <w:bottom w:w="80" w:type="dxa"/>
              <w:end w:w="80" w:type="dxa"/>
            </w:tcMar>
            <w:vAlign w:val="top"/>
          </w:tcPr>
          <w:p>
            <w:r>
              <w:rPr>
                <w:rFonts w:ascii="Arial" w:hAnsi="Arial" w:eastAsia="Arial"/>
                <w:b/>
                <w:color w:val="4B0F4F"/>
                <w:sz w:val="16"/>
              </w:rPr>
              <w:t>Souveraineté / open source / hébergement local</w:t>
            </w:r>
          </w:p>
        </w:tc>
        <w:tc>
          <w:tcPr>
            <w:tcW w:type="dxa" w:w="1300"/>
            <w:shd w:fill="FFFFFF"/>
            <w:tcMar>
              <w:top w:w="80" w:type="dxa"/>
              <w:start w:w="80" w:type="dxa"/>
              <w:bottom w:w="80" w:type="dxa"/>
              <w:end w:w="80" w:type="dxa"/>
            </w:tcMar>
            <w:vAlign w:val="top"/>
          </w:tcPr>
          <w:p>
            <w:r>
              <w:rPr>
                <w:rFonts w:ascii="Arial" w:hAnsi="Arial" w:eastAsia="Arial"/>
                <w:sz w:val="16"/>
              </w:rPr>
              <w:t>Très fort</w:t>
            </w:r>
          </w:p>
        </w:tc>
        <w:tc>
          <w:tcPr>
            <w:tcW w:type="dxa" w:w="1300"/>
            <w:shd w:fill="FFFFFF"/>
            <w:tcMar>
              <w:top w:w="80" w:type="dxa"/>
              <w:start w:w="80" w:type="dxa"/>
              <w:bottom w:w="80" w:type="dxa"/>
              <w:end w:w="80" w:type="dxa"/>
            </w:tcMar>
            <w:vAlign w:val="top"/>
          </w:tcPr>
          <w:p>
            <w:r>
              <w:rPr>
                <w:rFonts w:ascii="Arial" w:hAnsi="Arial" w:eastAsia="Arial"/>
                <w:sz w:val="16"/>
              </w:rPr>
              <w:t>Fort</w:t>
            </w:r>
          </w:p>
        </w:tc>
        <w:tc>
          <w:tcPr>
            <w:tcW w:type="dxa" w:w="1300"/>
            <w:shd w:fill="FFFFFF"/>
            <w:tcMar>
              <w:top w:w="80" w:type="dxa"/>
              <w:start w:w="80" w:type="dxa"/>
              <w:bottom w:w="80" w:type="dxa"/>
              <w:end w:w="80" w:type="dxa"/>
            </w:tcMar>
            <w:vAlign w:val="top"/>
          </w:tcPr>
          <w:p>
            <w:r>
              <w:rPr>
                <w:rFonts w:ascii="Arial" w:hAnsi="Arial" w:eastAsia="Arial"/>
                <w:sz w:val="16"/>
              </w:rPr>
              <w:t>Moyen</w:t>
            </w:r>
          </w:p>
        </w:tc>
        <w:tc>
          <w:tcPr>
            <w:tcW w:type="dxa" w:w="1700"/>
            <w:shd w:fill="FFFFFF"/>
            <w:tcMar>
              <w:top w:w="80" w:type="dxa"/>
              <w:start w:w="80" w:type="dxa"/>
              <w:bottom w:w="80" w:type="dxa"/>
              <w:end w:w="80" w:type="dxa"/>
            </w:tcMar>
            <w:vAlign w:val="top"/>
          </w:tcPr>
          <w:p>
            <w:r>
              <w:rPr>
                <w:rFonts w:ascii="Arial" w:hAnsi="Arial" w:eastAsia="Arial"/>
                <w:sz w:val="16"/>
              </w:rPr>
              <w:t>Fort</w:t>
            </w:r>
          </w:p>
        </w:tc>
      </w:tr>
      <w:tr>
        <w:tc>
          <w:tcPr>
            <w:tcW w:type="dxa" w:w="3600"/>
            <w:shd w:fill="F3F4F6"/>
            <w:tcMar>
              <w:top w:w="80" w:type="dxa"/>
              <w:start w:w="80" w:type="dxa"/>
              <w:bottom w:w="80" w:type="dxa"/>
              <w:end w:w="80" w:type="dxa"/>
            </w:tcMar>
            <w:vAlign w:val="top"/>
          </w:tcPr>
          <w:p>
            <w:r>
              <w:rPr>
                <w:rFonts w:ascii="Arial" w:hAnsi="Arial" w:eastAsia="Arial"/>
                <w:b/>
                <w:color w:val="4B0F4F"/>
                <w:sz w:val="16"/>
              </w:rPr>
              <w:t>Disponibilité 24/7 / supervision / production</w:t>
            </w:r>
          </w:p>
        </w:tc>
        <w:tc>
          <w:tcPr>
            <w:tcW w:type="dxa" w:w="1300"/>
            <w:shd w:fill="F3F4F6"/>
            <w:tcMar>
              <w:top w:w="80" w:type="dxa"/>
              <w:start w:w="80" w:type="dxa"/>
              <w:bottom w:w="80" w:type="dxa"/>
              <w:end w:w="80" w:type="dxa"/>
            </w:tcMar>
            <w:vAlign w:val="top"/>
          </w:tcPr>
          <w:p>
            <w:r>
              <w:rPr>
                <w:rFonts w:ascii="Arial" w:hAnsi="Arial" w:eastAsia="Arial"/>
                <w:sz w:val="16"/>
              </w:rPr>
              <w:t>Fort</w:t>
            </w:r>
          </w:p>
        </w:tc>
        <w:tc>
          <w:tcPr>
            <w:tcW w:type="dxa" w:w="1300"/>
            <w:shd w:fill="F3F4F6"/>
            <w:tcMar>
              <w:top w:w="80" w:type="dxa"/>
              <w:start w:w="80" w:type="dxa"/>
              <w:bottom w:w="80" w:type="dxa"/>
              <w:end w:w="80" w:type="dxa"/>
            </w:tcMar>
            <w:vAlign w:val="top"/>
          </w:tcPr>
          <w:p>
            <w:r>
              <w:rPr>
                <w:rFonts w:ascii="Arial" w:hAnsi="Arial" w:eastAsia="Arial"/>
                <w:sz w:val="16"/>
              </w:rPr>
              <w:t>Très fort</w:t>
            </w:r>
          </w:p>
        </w:tc>
        <w:tc>
          <w:tcPr>
            <w:tcW w:type="dxa" w:w="1300"/>
            <w:shd w:fill="F3F4F6"/>
            <w:tcMar>
              <w:top w:w="80" w:type="dxa"/>
              <w:start w:w="80" w:type="dxa"/>
              <w:bottom w:w="80" w:type="dxa"/>
              <w:end w:w="80" w:type="dxa"/>
            </w:tcMar>
            <w:vAlign w:val="top"/>
          </w:tcPr>
          <w:p>
            <w:r>
              <w:rPr>
                <w:rFonts w:ascii="Arial" w:hAnsi="Arial" w:eastAsia="Arial"/>
                <w:sz w:val="16"/>
              </w:rPr>
              <w:t>Moyen</w:t>
            </w:r>
          </w:p>
        </w:tc>
        <w:tc>
          <w:tcPr>
            <w:tcW w:type="dxa" w:w="1700"/>
            <w:shd w:fill="F3F4F6"/>
            <w:tcMar>
              <w:top w:w="80" w:type="dxa"/>
              <w:start w:w="80" w:type="dxa"/>
              <w:bottom w:w="80" w:type="dxa"/>
              <w:end w:w="80" w:type="dxa"/>
            </w:tcMar>
            <w:vAlign w:val="top"/>
          </w:tcPr>
          <w:p>
            <w:r>
              <w:rPr>
                <w:rFonts w:ascii="Arial" w:hAnsi="Arial" w:eastAsia="Arial"/>
                <w:sz w:val="16"/>
              </w:rPr>
              <w:t>Fort</w:t>
            </w:r>
          </w:p>
        </w:tc>
      </w:tr>
      <w:tr>
        <w:tc>
          <w:tcPr>
            <w:tcW w:type="dxa" w:w="3600"/>
            <w:shd w:fill="FFFFFF"/>
            <w:tcMar>
              <w:top w:w="80" w:type="dxa"/>
              <w:start w:w="80" w:type="dxa"/>
              <w:bottom w:w="80" w:type="dxa"/>
              <w:end w:w="80" w:type="dxa"/>
            </w:tcMar>
            <w:vAlign w:val="top"/>
          </w:tcPr>
          <w:p>
            <w:r>
              <w:rPr>
                <w:rFonts w:ascii="Arial" w:hAnsi="Arial" w:eastAsia="Arial"/>
                <w:b/>
                <w:color w:val="4B0F4F"/>
                <w:sz w:val="16"/>
              </w:rPr>
              <w:t>Recette automatisée / non-régression</w:t>
            </w:r>
          </w:p>
        </w:tc>
        <w:tc>
          <w:tcPr>
            <w:tcW w:type="dxa" w:w="1300"/>
            <w:shd w:fill="FFFFFF"/>
            <w:tcMar>
              <w:top w:w="80" w:type="dxa"/>
              <w:start w:w="80" w:type="dxa"/>
              <w:bottom w:w="80" w:type="dxa"/>
              <w:end w:w="80" w:type="dxa"/>
            </w:tcMar>
            <w:vAlign w:val="top"/>
          </w:tcPr>
          <w:p>
            <w:r>
              <w:rPr>
                <w:rFonts w:ascii="Arial" w:hAnsi="Arial" w:eastAsia="Arial"/>
                <w:sz w:val="16"/>
              </w:rPr>
              <w:t>Moyen</w:t>
            </w:r>
          </w:p>
        </w:tc>
        <w:tc>
          <w:tcPr>
            <w:tcW w:type="dxa" w:w="1300"/>
            <w:shd w:fill="FFFFFF"/>
            <w:tcMar>
              <w:top w:w="80" w:type="dxa"/>
              <w:start w:w="80" w:type="dxa"/>
              <w:bottom w:w="80" w:type="dxa"/>
              <w:end w:w="80" w:type="dxa"/>
            </w:tcMar>
            <w:vAlign w:val="top"/>
          </w:tcPr>
          <w:p>
            <w:r>
              <w:rPr>
                <w:rFonts w:ascii="Arial" w:hAnsi="Arial" w:eastAsia="Arial"/>
                <w:sz w:val="16"/>
              </w:rPr>
              <w:t>Fort</w:t>
            </w:r>
          </w:p>
        </w:tc>
        <w:tc>
          <w:tcPr>
            <w:tcW w:type="dxa" w:w="1300"/>
            <w:shd w:fill="FFFFFF"/>
            <w:tcMar>
              <w:top w:w="80" w:type="dxa"/>
              <w:start w:w="80" w:type="dxa"/>
              <w:bottom w:w="80" w:type="dxa"/>
              <w:end w:w="80" w:type="dxa"/>
            </w:tcMar>
            <w:vAlign w:val="top"/>
          </w:tcPr>
          <w:p>
            <w:r>
              <w:rPr>
                <w:rFonts w:ascii="Arial" w:hAnsi="Arial" w:eastAsia="Arial"/>
                <w:sz w:val="16"/>
              </w:rPr>
              <w:t>Très fort</w:t>
            </w:r>
          </w:p>
        </w:tc>
        <w:tc>
          <w:tcPr>
            <w:tcW w:type="dxa" w:w="1700"/>
            <w:shd w:fill="FFFFFF"/>
            <w:tcMar>
              <w:top w:w="80" w:type="dxa"/>
              <w:start w:w="80" w:type="dxa"/>
              <w:bottom w:w="80" w:type="dxa"/>
              <w:end w:w="80" w:type="dxa"/>
            </w:tcMar>
            <w:vAlign w:val="top"/>
          </w:tcPr>
          <w:p>
            <w:r>
              <w:rPr>
                <w:rFonts w:ascii="Arial" w:hAnsi="Arial" w:eastAsia="Arial"/>
                <w:sz w:val="16"/>
              </w:rPr>
              <w:t>Fort</w:t>
            </w:r>
          </w:p>
        </w:tc>
      </w:tr>
      <w:tr>
        <w:tc>
          <w:tcPr>
            <w:tcW w:type="dxa" w:w="3600"/>
            <w:shd w:fill="F3F4F6"/>
            <w:tcMar>
              <w:top w:w="80" w:type="dxa"/>
              <w:start w:w="80" w:type="dxa"/>
              <w:bottom w:w="80" w:type="dxa"/>
              <w:end w:w="80" w:type="dxa"/>
            </w:tcMar>
            <w:vAlign w:val="top"/>
          </w:tcPr>
          <w:p>
            <w:r>
              <w:rPr>
                <w:rFonts w:ascii="Arial" w:hAnsi="Arial" w:eastAsia="Arial"/>
                <w:b/>
                <w:color w:val="4B0F4F"/>
                <w:sz w:val="16"/>
              </w:rPr>
              <w:t>Data governance / qualité des données</w:t>
            </w:r>
          </w:p>
        </w:tc>
        <w:tc>
          <w:tcPr>
            <w:tcW w:type="dxa" w:w="1300"/>
            <w:shd w:fill="F3F4F6"/>
            <w:tcMar>
              <w:top w:w="80" w:type="dxa"/>
              <w:start w:w="80" w:type="dxa"/>
              <w:bottom w:w="80" w:type="dxa"/>
              <w:end w:w="80" w:type="dxa"/>
            </w:tcMar>
            <w:vAlign w:val="top"/>
          </w:tcPr>
          <w:p>
            <w:r>
              <w:rPr>
                <w:rFonts w:ascii="Arial" w:hAnsi="Arial" w:eastAsia="Arial"/>
                <w:sz w:val="16"/>
              </w:rPr>
              <w:t>Fort</w:t>
            </w:r>
          </w:p>
        </w:tc>
        <w:tc>
          <w:tcPr>
            <w:tcW w:type="dxa" w:w="1300"/>
            <w:shd w:fill="F3F4F6"/>
            <w:tcMar>
              <w:top w:w="80" w:type="dxa"/>
              <w:start w:w="80" w:type="dxa"/>
              <w:bottom w:w="80" w:type="dxa"/>
              <w:end w:w="80" w:type="dxa"/>
            </w:tcMar>
            <w:vAlign w:val="top"/>
          </w:tcPr>
          <w:p>
            <w:r>
              <w:rPr>
                <w:rFonts w:ascii="Arial" w:hAnsi="Arial" w:eastAsia="Arial"/>
                <w:sz w:val="16"/>
              </w:rPr>
              <w:t>Moyen</w:t>
            </w:r>
          </w:p>
        </w:tc>
        <w:tc>
          <w:tcPr>
            <w:tcW w:type="dxa" w:w="1300"/>
            <w:shd w:fill="F3F4F6"/>
            <w:tcMar>
              <w:top w:w="80" w:type="dxa"/>
              <w:start w:w="80" w:type="dxa"/>
              <w:bottom w:w="80" w:type="dxa"/>
              <w:end w:w="80" w:type="dxa"/>
            </w:tcMar>
            <w:vAlign w:val="top"/>
          </w:tcPr>
          <w:p>
            <w:r>
              <w:rPr>
                <w:rFonts w:ascii="Arial" w:hAnsi="Arial" w:eastAsia="Arial"/>
                <w:sz w:val="16"/>
              </w:rPr>
              <w:t>Fort</w:t>
            </w:r>
          </w:p>
        </w:tc>
        <w:tc>
          <w:tcPr>
            <w:tcW w:type="dxa" w:w="1700"/>
            <w:shd w:fill="F3F4F6"/>
            <w:tcMar>
              <w:top w:w="80" w:type="dxa"/>
              <w:start w:w="80" w:type="dxa"/>
              <w:bottom w:w="80" w:type="dxa"/>
              <w:end w:w="80" w:type="dxa"/>
            </w:tcMar>
            <w:vAlign w:val="top"/>
          </w:tcPr>
          <w:p>
            <w:r>
              <w:rPr>
                <w:rFonts w:ascii="Arial" w:hAnsi="Arial" w:eastAsia="Arial"/>
                <w:sz w:val="16"/>
              </w:rPr>
              <w:t>Très fort</w:t>
            </w:r>
          </w:p>
        </w:tc>
      </w:tr>
      <w:tr>
        <w:tc>
          <w:tcPr>
            <w:tcW w:type="dxa" w:w="3600"/>
            <w:shd w:fill="FFFFFF"/>
            <w:tcMar>
              <w:top w:w="80" w:type="dxa"/>
              <w:start w:w="80" w:type="dxa"/>
              <w:bottom w:w="80" w:type="dxa"/>
              <w:end w:w="80" w:type="dxa"/>
            </w:tcMar>
            <w:vAlign w:val="top"/>
          </w:tcPr>
          <w:p>
            <w:r>
              <w:rPr>
                <w:rFonts w:ascii="Arial" w:hAnsi="Arial" w:eastAsia="Arial"/>
                <w:b/>
                <w:color w:val="4B0F4F"/>
                <w:sz w:val="16"/>
              </w:rPr>
              <w:t>IA maîtrisée et innovation</w:t>
            </w:r>
          </w:p>
        </w:tc>
        <w:tc>
          <w:tcPr>
            <w:tcW w:type="dxa" w:w="1300"/>
            <w:shd w:fill="FFFFFF"/>
            <w:tcMar>
              <w:top w:w="80" w:type="dxa"/>
              <w:start w:w="80" w:type="dxa"/>
              <w:bottom w:w="80" w:type="dxa"/>
              <w:end w:w="80" w:type="dxa"/>
            </w:tcMar>
            <w:vAlign w:val="top"/>
          </w:tcPr>
          <w:p>
            <w:r>
              <w:rPr>
                <w:rFonts w:ascii="Arial" w:hAnsi="Arial" w:eastAsia="Arial"/>
                <w:sz w:val="16"/>
              </w:rPr>
              <w:t>Fort</w:t>
            </w:r>
          </w:p>
        </w:tc>
        <w:tc>
          <w:tcPr>
            <w:tcW w:type="dxa" w:w="1300"/>
            <w:shd w:fill="FFFFFF"/>
            <w:tcMar>
              <w:top w:w="80" w:type="dxa"/>
              <w:start w:w="80" w:type="dxa"/>
              <w:bottom w:w="80" w:type="dxa"/>
              <w:end w:w="80" w:type="dxa"/>
            </w:tcMar>
            <w:vAlign w:val="top"/>
          </w:tcPr>
          <w:p>
            <w:r>
              <w:rPr>
                <w:rFonts w:ascii="Arial" w:hAnsi="Arial" w:eastAsia="Arial"/>
                <w:sz w:val="16"/>
              </w:rPr>
              <w:t>Moyen</w:t>
            </w:r>
          </w:p>
        </w:tc>
        <w:tc>
          <w:tcPr>
            <w:tcW w:type="dxa" w:w="1300"/>
            <w:shd w:fill="FFFFFF"/>
            <w:tcMar>
              <w:top w:w="80" w:type="dxa"/>
              <w:start w:w="80" w:type="dxa"/>
              <w:bottom w:w="80" w:type="dxa"/>
              <w:end w:w="80" w:type="dxa"/>
            </w:tcMar>
            <w:vAlign w:val="top"/>
          </w:tcPr>
          <w:p>
            <w:r>
              <w:rPr>
                <w:rFonts w:ascii="Arial" w:hAnsi="Arial" w:eastAsia="Arial"/>
                <w:sz w:val="16"/>
              </w:rPr>
              <w:t>Moyen</w:t>
            </w:r>
          </w:p>
        </w:tc>
        <w:tc>
          <w:tcPr>
            <w:tcW w:type="dxa" w:w="1700"/>
            <w:shd w:fill="FFFFFF"/>
            <w:tcMar>
              <w:top w:w="80" w:type="dxa"/>
              <w:start w:w="80" w:type="dxa"/>
              <w:bottom w:w="80" w:type="dxa"/>
              <w:end w:w="80" w:type="dxa"/>
            </w:tcMar>
            <w:vAlign w:val="top"/>
          </w:tcPr>
          <w:p>
            <w:r>
              <w:rPr>
                <w:rFonts w:ascii="Arial" w:hAnsi="Arial" w:eastAsia="Arial"/>
                <w:sz w:val="16"/>
              </w:rPr>
              <w:t>Très fort</w:t>
            </w:r>
          </w:p>
        </w:tc>
      </w:tr>
      <w:tr>
        <w:tc>
          <w:tcPr>
            <w:tcW w:type="dxa" w:w="3600"/>
            <w:shd w:fill="F3F4F6"/>
            <w:tcMar>
              <w:top w:w="80" w:type="dxa"/>
              <w:start w:w="80" w:type="dxa"/>
              <w:bottom w:w="80" w:type="dxa"/>
              <w:end w:w="80" w:type="dxa"/>
            </w:tcMar>
            <w:vAlign w:val="top"/>
          </w:tcPr>
          <w:p>
            <w:r>
              <w:rPr>
                <w:rFonts w:ascii="Arial" w:hAnsi="Arial" w:eastAsia="Arial"/>
                <w:b/>
                <w:color w:val="4B0F4F"/>
                <w:sz w:val="16"/>
              </w:rPr>
              <w:t>Relation client omnicanale / UX</w:t>
            </w:r>
          </w:p>
        </w:tc>
        <w:tc>
          <w:tcPr>
            <w:tcW w:type="dxa" w:w="1300"/>
            <w:shd w:fill="F3F4F6"/>
            <w:tcMar>
              <w:top w:w="80" w:type="dxa"/>
              <w:start w:w="80" w:type="dxa"/>
              <w:bottom w:w="80" w:type="dxa"/>
              <w:end w:w="80" w:type="dxa"/>
            </w:tcMar>
            <w:vAlign w:val="top"/>
          </w:tcPr>
          <w:p>
            <w:r>
              <w:rPr>
                <w:rFonts w:ascii="Arial" w:hAnsi="Arial" w:eastAsia="Arial"/>
                <w:sz w:val="16"/>
              </w:rPr>
              <w:t>Moyen</w:t>
            </w:r>
          </w:p>
        </w:tc>
        <w:tc>
          <w:tcPr>
            <w:tcW w:type="dxa" w:w="1300"/>
            <w:shd w:fill="F3F4F6"/>
            <w:tcMar>
              <w:top w:w="80" w:type="dxa"/>
              <w:start w:w="80" w:type="dxa"/>
              <w:bottom w:w="80" w:type="dxa"/>
              <w:end w:w="80" w:type="dxa"/>
            </w:tcMar>
            <w:vAlign w:val="top"/>
          </w:tcPr>
          <w:p>
            <w:r>
              <w:rPr>
                <w:rFonts w:ascii="Arial" w:hAnsi="Arial" w:eastAsia="Arial"/>
                <w:sz w:val="16"/>
              </w:rPr>
              <w:t>Très fort</w:t>
            </w:r>
          </w:p>
        </w:tc>
        <w:tc>
          <w:tcPr>
            <w:tcW w:type="dxa" w:w="1300"/>
            <w:shd w:fill="F3F4F6"/>
            <w:tcMar>
              <w:top w:w="80" w:type="dxa"/>
              <w:start w:w="80" w:type="dxa"/>
              <w:bottom w:w="80" w:type="dxa"/>
              <w:end w:w="80" w:type="dxa"/>
            </w:tcMar>
            <w:vAlign w:val="top"/>
          </w:tcPr>
          <w:p>
            <w:r>
              <w:rPr>
                <w:rFonts w:ascii="Arial" w:hAnsi="Arial" w:eastAsia="Arial"/>
                <w:sz w:val="16"/>
              </w:rPr>
              <w:t>Fort</w:t>
            </w:r>
          </w:p>
        </w:tc>
        <w:tc>
          <w:tcPr>
            <w:tcW w:type="dxa" w:w="1700"/>
            <w:shd w:fill="F3F4F6"/>
            <w:tcMar>
              <w:top w:w="80" w:type="dxa"/>
              <w:start w:w="80" w:type="dxa"/>
              <w:bottom w:w="80" w:type="dxa"/>
              <w:end w:w="80" w:type="dxa"/>
            </w:tcMar>
            <w:vAlign w:val="top"/>
          </w:tcPr>
          <w:p>
            <w:r>
              <w:rPr>
                <w:rFonts w:ascii="Arial" w:hAnsi="Arial" w:eastAsia="Arial"/>
                <w:sz w:val="16"/>
              </w:rPr>
              <w:t>Très fort</w:t>
            </w:r>
          </w:p>
        </w:tc>
      </w:tr>
      <w:tr>
        <w:tc>
          <w:tcPr>
            <w:tcW w:type="dxa" w:w="3600"/>
            <w:shd w:fill="FFFFFF"/>
            <w:tcMar>
              <w:top w:w="80" w:type="dxa"/>
              <w:start w:w="80" w:type="dxa"/>
              <w:bottom w:w="80" w:type="dxa"/>
              <w:end w:w="80" w:type="dxa"/>
            </w:tcMar>
            <w:vAlign w:val="top"/>
          </w:tcPr>
          <w:p>
            <w:r>
              <w:rPr>
                <w:rFonts w:ascii="Arial" w:hAnsi="Arial" w:eastAsia="Arial"/>
                <w:b/>
                <w:color w:val="4B0F4F"/>
                <w:sz w:val="16"/>
              </w:rPr>
              <w:t>Cybersécurité / antifraude / IAM</w:t>
            </w:r>
          </w:p>
        </w:tc>
        <w:tc>
          <w:tcPr>
            <w:tcW w:type="dxa" w:w="1300"/>
            <w:shd w:fill="FFFFFF"/>
            <w:tcMar>
              <w:top w:w="80" w:type="dxa"/>
              <w:start w:w="80" w:type="dxa"/>
              <w:bottom w:w="80" w:type="dxa"/>
              <w:end w:w="80" w:type="dxa"/>
            </w:tcMar>
            <w:vAlign w:val="top"/>
          </w:tcPr>
          <w:p>
            <w:r>
              <w:rPr>
                <w:rFonts w:ascii="Arial" w:hAnsi="Arial" w:eastAsia="Arial"/>
                <w:sz w:val="16"/>
              </w:rPr>
              <w:t>Très fort</w:t>
            </w:r>
          </w:p>
        </w:tc>
        <w:tc>
          <w:tcPr>
            <w:tcW w:type="dxa" w:w="1300"/>
            <w:shd w:fill="FFFFFF"/>
            <w:tcMar>
              <w:top w:w="80" w:type="dxa"/>
              <w:start w:w="80" w:type="dxa"/>
              <w:bottom w:w="80" w:type="dxa"/>
              <w:end w:w="80" w:type="dxa"/>
            </w:tcMar>
            <w:vAlign w:val="top"/>
          </w:tcPr>
          <w:p>
            <w:r>
              <w:rPr>
                <w:rFonts w:ascii="Arial" w:hAnsi="Arial" w:eastAsia="Arial"/>
                <w:sz w:val="16"/>
              </w:rPr>
              <w:t>Fort</w:t>
            </w:r>
          </w:p>
        </w:tc>
        <w:tc>
          <w:tcPr>
            <w:tcW w:type="dxa" w:w="1300"/>
            <w:shd w:fill="FFFFFF"/>
            <w:tcMar>
              <w:top w:w="80" w:type="dxa"/>
              <w:start w:w="80" w:type="dxa"/>
              <w:bottom w:w="80" w:type="dxa"/>
              <w:end w:w="80" w:type="dxa"/>
            </w:tcMar>
            <w:vAlign w:val="top"/>
          </w:tcPr>
          <w:p>
            <w:r>
              <w:rPr>
                <w:rFonts w:ascii="Arial" w:hAnsi="Arial" w:eastAsia="Arial"/>
                <w:sz w:val="16"/>
              </w:rPr>
              <w:t>Moyen</w:t>
            </w:r>
          </w:p>
        </w:tc>
        <w:tc>
          <w:tcPr>
            <w:tcW w:type="dxa" w:w="1700"/>
            <w:shd w:fill="FFFFFF"/>
            <w:tcMar>
              <w:top w:w="80" w:type="dxa"/>
              <w:start w:w="80" w:type="dxa"/>
              <w:bottom w:w="80" w:type="dxa"/>
              <w:end w:w="80" w:type="dxa"/>
            </w:tcMar>
            <w:vAlign w:val="top"/>
          </w:tcPr>
          <w:p>
            <w:r>
              <w:rPr>
                <w:rFonts w:ascii="Arial" w:hAnsi="Arial" w:eastAsia="Arial"/>
                <w:sz w:val="16"/>
              </w:rPr>
              <w:t>Très fort</w:t>
            </w:r>
          </w:p>
        </w:tc>
      </w:tr>
    </w:tbl>
    <w:p>
      <w:r>
        <w:br w:type="page"/>
      </w:r>
    </w:p>
    <w:p>
      <w:pPr>
        <w:jc w:val="left"/>
      </w:pPr>
      <w:r>
        <w:rPr>
          <w:b/>
          <w:color w:val="6C1D74"/>
          <w:sz w:val="36"/>
        </w:rPr>
        <w:t>5. Actualités et signaux faibles à exploiter</w:t>
      </w:r>
    </w:p>
    <w:p>
      <w:r>
        <w:rPr>
          <w:i/>
          <w:color w:val="2F2F2F"/>
          <w:sz w:val="20"/>
        </w:rPr>
        <w:t>Cette partie sert à préparer des prises de contact contextualisées, pas à réciter l’actualité.</w:t>
      </w:r>
    </w:p>
    <w:tbl>
      <w:tblPr>
        <w:tblStyle w:val="TableGrid"/>
        <w:tblW w:type="auto" w:w="0"/>
        <w:jc w:val="center"/>
        <w:tblLook w:firstColumn="1" w:firstRow="1" w:lastColumn="0" w:lastRow="0" w:noHBand="0" w:noVBand="1" w:val="04A0"/>
      </w:tblPr>
      <w:tblGrid>
        <w:gridCol w:w="2606"/>
        <w:gridCol w:w="2606"/>
        <w:gridCol w:w="2606"/>
        <w:gridCol w:w="2606"/>
      </w:tblGrid>
      <w:tr>
        <w:trPr>
          <w:tblHeader w:val="true"/>
        </w:trPr>
        <w:tc>
          <w:tcPr>
            <w:tcW w:type="dxa" w:w="1550"/>
            <w:shd w:fill="6C1D74"/>
            <w:tcMar>
              <w:top w:w="90" w:type="dxa"/>
              <w:start w:w="90" w:type="dxa"/>
              <w:bottom w:w="90" w:type="dxa"/>
              <w:end w:w="90" w:type="dxa"/>
            </w:tcMar>
            <w:vAlign w:val="top"/>
          </w:tcPr>
          <w:p>
            <w:pPr>
              <w:jc w:val="center"/>
            </w:pPr>
            <w:r>
              <w:rPr>
                <w:rFonts w:ascii="Arial" w:hAnsi="Arial" w:eastAsia="Arial"/>
                <w:b/>
                <w:color w:val="FFFFFF"/>
                <w:sz w:val="17"/>
              </w:rPr>
              <w:t>Date / période</w:t>
            </w:r>
          </w:p>
        </w:tc>
        <w:tc>
          <w:tcPr>
            <w:tcW w:type="dxa" w:w="2200"/>
            <w:shd w:fill="6C1D74"/>
            <w:tcMar>
              <w:top w:w="90" w:type="dxa"/>
              <w:start w:w="90" w:type="dxa"/>
              <w:bottom w:w="90" w:type="dxa"/>
              <w:end w:w="90" w:type="dxa"/>
            </w:tcMar>
            <w:vAlign w:val="top"/>
          </w:tcPr>
          <w:p>
            <w:pPr>
              <w:jc w:val="center"/>
            </w:pPr>
            <w:r>
              <w:rPr>
                <w:rFonts w:ascii="Arial" w:hAnsi="Arial" w:eastAsia="Arial"/>
                <w:b/>
                <w:color w:val="FFFFFF"/>
                <w:sz w:val="17"/>
              </w:rPr>
              <w:t>Actualité</w:t>
            </w:r>
          </w:p>
        </w:tc>
        <w:tc>
          <w:tcPr>
            <w:tcW w:type="dxa" w:w="3600"/>
            <w:shd w:fill="6C1D74"/>
            <w:tcMar>
              <w:top w:w="90" w:type="dxa"/>
              <w:start w:w="90" w:type="dxa"/>
              <w:bottom w:w="90" w:type="dxa"/>
              <w:end w:w="90" w:type="dxa"/>
            </w:tcMar>
            <w:vAlign w:val="top"/>
          </w:tcPr>
          <w:p>
            <w:pPr>
              <w:jc w:val="center"/>
            </w:pPr>
            <w:r>
              <w:rPr>
                <w:rFonts w:ascii="Arial" w:hAnsi="Arial" w:eastAsia="Arial"/>
                <w:b/>
                <w:color w:val="FFFFFF"/>
                <w:sz w:val="17"/>
              </w:rPr>
              <w:t>Ce qu’il faut retenir</w:t>
            </w:r>
          </w:p>
        </w:tc>
        <w:tc>
          <w:tcPr>
            <w:tcW w:type="dxa" w:w="3200"/>
            <w:shd w:fill="6C1D74"/>
            <w:tcMar>
              <w:top w:w="90" w:type="dxa"/>
              <w:start w:w="90" w:type="dxa"/>
              <w:bottom w:w="90" w:type="dxa"/>
              <w:end w:w="90" w:type="dxa"/>
            </w:tcMar>
            <w:vAlign w:val="top"/>
          </w:tcPr>
          <w:p>
            <w:pPr>
              <w:jc w:val="center"/>
            </w:pPr>
            <w:r>
              <w:rPr>
                <w:rFonts w:ascii="Arial" w:hAnsi="Arial" w:eastAsia="Arial"/>
                <w:b/>
                <w:color w:val="FFFFFF"/>
                <w:sz w:val="17"/>
              </w:rPr>
              <w:t>Utilisation en échange IT</w:t>
            </w:r>
          </w:p>
        </w:tc>
      </w:tr>
      <w:tr>
        <w:tc>
          <w:tcPr>
            <w:tcW w:type="dxa" w:w="1550"/>
            <w:shd w:fill="FFFFFF"/>
            <w:tcMar>
              <w:top w:w="80" w:type="dxa"/>
              <w:start w:w="80" w:type="dxa"/>
              <w:bottom w:w="80" w:type="dxa"/>
              <w:end w:w="80" w:type="dxa"/>
            </w:tcMar>
            <w:vAlign w:val="top"/>
          </w:tcPr>
          <w:p>
            <w:r>
              <w:rPr>
                <w:rFonts w:ascii="Arial" w:hAnsi="Arial" w:eastAsia="Arial"/>
                <w:b/>
                <w:color w:val="4B0F4F"/>
                <w:sz w:val="14"/>
              </w:rPr>
              <w:t>16 janvier 2026</w:t>
            </w:r>
          </w:p>
        </w:tc>
        <w:tc>
          <w:tcPr>
            <w:tcW w:type="dxa" w:w="2200"/>
            <w:shd w:fill="FFFFFF"/>
            <w:tcMar>
              <w:top w:w="80" w:type="dxa"/>
              <w:start w:w="80" w:type="dxa"/>
              <w:bottom w:w="80" w:type="dxa"/>
              <w:end w:w="80" w:type="dxa"/>
            </w:tcMar>
            <w:vAlign w:val="top"/>
          </w:tcPr>
          <w:p>
            <w:r>
              <w:rPr>
                <w:rFonts w:ascii="Arial" w:hAnsi="Arial" w:eastAsia="Arial"/>
                <w:sz w:val="14"/>
              </w:rPr>
              <w:t>Circulaire retraite progressive 2026</w:t>
            </w:r>
          </w:p>
        </w:tc>
        <w:tc>
          <w:tcPr>
            <w:tcW w:type="dxa" w:w="3600"/>
            <w:shd w:fill="FFFFFF"/>
            <w:tcMar>
              <w:top w:w="80" w:type="dxa"/>
              <w:start w:w="80" w:type="dxa"/>
              <w:bottom w:w="80" w:type="dxa"/>
              <w:end w:w="80" w:type="dxa"/>
            </w:tcMar>
            <w:vAlign w:val="top"/>
          </w:tcPr>
          <w:p>
            <w:r>
              <w:rPr>
                <w:rFonts w:ascii="Arial" w:hAnsi="Arial" w:eastAsia="Arial"/>
                <w:sz w:val="14"/>
              </w:rPr>
              <w:t>Barème 2026 et distinction de périodes selon les évolutions liées à la loi 2025-1403. [S5]</w:t>
            </w:r>
          </w:p>
        </w:tc>
        <w:tc>
          <w:tcPr>
            <w:tcW w:type="dxa" w:w="3200"/>
            <w:shd w:fill="FFFFFF"/>
            <w:tcMar>
              <w:top w:w="80" w:type="dxa"/>
              <w:start w:w="80" w:type="dxa"/>
              <w:bottom w:w="80" w:type="dxa"/>
              <w:end w:w="80" w:type="dxa"/>
            </w:tcMar>
            <w:vAlign w:val="top"/>
          </w:tcPr>
          <w:p>
            <w:r>
              <w:rPr>
                <w:rFonts w:ascii="Arial" w:hAnsi="Arial" w:eastAsia="Arial"/>
                <w:sz w:val="14"/>
              </w:rPr>
              <w:t>CNRI / équipes réglementaires / MOE : intégration rapide, tests, validation, non-régression.</w:t>
            </w:r>
          </w:p>
        </w:tc>
      </w:tr>
      <w:tr>
        <w:tc>
          <w:tcPr>
            <w:tcW w:type="dxa" w:w="1550"/>
            <w:shd w:fill="F3F4F6"/>
            <w:tcMar>
              <w:top w:w="80" w:type="dxa"/>
              <w:start w:w="80" w:type="dxa"/>
              <w:bottom w:w="80" w:type="dxa"/>
              <w:end w:w="80" w:type="dxa"/>
            </w:tcMar>
            <w:vAlign w:val="top"/>
          </w:tcPr>
          <w:p>
            <w:r>
              <w:rPr>
                <w:rFonts w:ascii="Arial" w:hAnsi="Arial" w:eastAsia="Arial"/>
                <w:b/>
                <w:color w:val="4B0F4F"/>
                <w:sz w:val="14"/>
              </w:rPr>
              <w:t>2 mars 2026</w:t>
            </w:r>
          </w:p>
        </w:tc>
        <w:tc>
          <w:tcPr>
            <w:tcW w:type="dxa" w:w="2200"/>
            <w:shd w:fill="F3F4F6"/>
            <w:tcMar>
              <w:top w:w="80" w:type="dxa"/>
              <w:start w:w="80" w:type="dxa"/>
              <w:bottom w:w="80" w:type="dxa"/>
              <w:end w:w="80" w:type="dxa"/>
            </w:tcMar>
            <w:vAlign w:val="top"/>
          </w:tcPr>
          <w:p>
            <w:r>
              <w:rPr>
                <w:rFonts w:ascii="Arial" w:hAnsi="Arial" w:eastAsia="Arial"/>
                <w:sz w:val="14"/>
              </w:rPr>
              <w:t>Édition spéciale Rencontres retraite</w:t>
            </w:r>
          </w:p>
        </w:tc>
        <w:tc>
          <w:tcPr>
            <w:tcW w:type="dxa" w:w="3600"/>
            <w:shd w:fill="F3F4F6"/>
            <w:tcMar>
              <w:top w:w="80" w:type="dxa"/>
              <w:start w:w="80" w:type="dxa"/>
              <w:bottom w:w="80" w:type="dxa"/>
              <w:end w:w="80" w:type="dxa"/>
            </w:tcMar>
            <w:vAlign w:val="top"/>
          </w:tcPr>
          <w:p>
            <w:r>
              <w:rPr>
                <w:rFonts w:ascii="Arial" w:hAnsi="Arial" w:eastAsia="Arial"/>
                <w:sz w:val="14"/>
              </w:rPr>
              <w:t>25 000 entretiens personnalisés autour de la suspension de la réforme des retraites ; besoin d’information inédit. [S4]</w:t>
            </w:r>
          </w:p>
        </w:tc>
        <w:tc>
          <w:tcPr>
            <w:tcW w:type="dxa" w:w="3200"/>
            <w:shd w:fill="F3F4F6"/>
            <w:tcMar>
              <w:top w:w="80" w:type="dxa"/>
              <w:start w:w="80" w:type="dxa"/>
              <w:bottom w:w="80" w:type="dxa"/>
              <w:end w:w="80" w:type="dxa"/>
            </w:tcMar>
            <w:vAlign w:val="top"/>
          </w:tcPr>
          <w:p>
            <w:r>
              <w:rPr>
                <w:rFonts w:ascii="Arial" w:hAnsi="Arial" w:eastAsia="Arial"/>
                <w:sz w:val="14"/>
              </w:rPr>
              <w:t>DRCP / services en ligne : capacité d’absorption, escalade, support, UX, simulateurs.</w:t>
            </w:r>
          </w:p>
        </w:tc>
      </w:tr>
      <w:tr>
        <w:tc>
          <w:tcPr>
            <w:tcW w:type="dxa" w:w="1550"/>
            <w:shd w:fill="FFFFFF"/>
            <w:tcMar>
              <w:top w:w="80" w:type="dxa"/>
              <w:start w:w="80" w:type="dxa"/>
              <w:bottom w:w="80" w:type="dxa"/>
              <w:end w:w="80" w:type="dxa"/>
            </w:tcMar>
            <w:vAlign w:val="top"/>
          </w:tcPr>
          <w:p>
            <w:r>
              <w:rPr>
                <w:rFonts w:ascii="Arial" w:hAnsi="Arial" w:eastAsia="Arial"/>
                <w:b/>
                <w:color w:val="4B0F4F"/>
                <w:sz w:val="14"/>
              </w:rPr>
              <w:t>31 mars 2026</w:t>
            </w:r>
          </w:p>
        </w:tc>
        <w:tc>
          <w:tcPr>
            <w:tcW w:type="dxa" w:w="2200"/>
            <w:shd w:fill="FFFFFF"/>
            <w:tcMar>
              <w:top w:w="80" w:type="dxa"/>
              <w:start w:w="80" w:type="dxa"/>
              <w:bottom w:w="80" w:type="dxa"/>
              <w:end w:w="80" w:type="dxa"/>
            </w:tcMar>
            <w:vAlign w:val="top"/>
          </w:tcPr>
          <w:p>
            <w:r>
              <w:rPr>
                <w:rFonts w:ascii="Arial" w:hAnsi="Arial" w:eastAsia="Arial"/>
                <w:sz w:val="14"/>
              </w:rPr>
              <w:t>Résultats 2025</w:t>
            </w:r>
          </w:p>
        </w:tc>
        <w:tc>
          <w:tcPr>
            <w:tcW w:type="dxa" w:w="3600"/>
            <w:shd w:fill="FFFFFF"/>
            <w:tcMar>
              <w:top w:w="80" w:type="dxa"/>
              <w:start w:w="80" w:type="dxa"/>
              <w:bottom w:w="80" w:type="dxa"/>
              <w:end w:w="80" w:type="dxa"/>
            </w:tcMar>
            <w:vAlign w:val="top"/>
          </w:tcPr>
          <w:p>
            <w:r>
              <w:rPr>
                <w:rFonts w:ascii="Arial" w:hAnsi="Arial" w:eastAsia="Arial"/>
                <w:sz w:val="14"/>
              </w:rPr>
              <w:t>Régime à l’équilibre, résultat de 1,4 Md€, réserves à 91,2 Md€ ; investissement continu dans la proximité. [S3]</w:t>
            </w:r>
          </w:p>
        </w:tc>
        <w:tc>
          <w:tcPr>
            <w:tcW w:type="dxa" w:w="3200"/>
            <w:shd w:fill="FFFFFF"/>
            <w:tcMar>
              <w:top w:w="80" w:type="dxa"/>
              <w:start w:w="80" w:type="dxa"/>
              <w:bottom w:w="80" w:type="dxa"/>
              <w:end w:w="80" w:type="dxa"/>
            </w:tcMar>
            <w:vAlign w:val="top"/>
          </w:tcPr>
          <w:p>
            <w:r>
              <w:rPr>
                <w:rFonts w:ascii="Arial" w:hAnsi="Arial" w:eastAsia="Arial"/>
                <w:sz w:val="14"/>
              </w:rPr>
              <w:t>DSI : prouver que l’investissement SI reste aligné avec service et efficience.</w:t>
            </w:r>
          </w:p>
        </w:tc>
      </w:tr>
      <w:tr>
        <w:tc>
          <w:tcPr>
            <w:tcW w:type="dxa" w:w="1550"/>
            <w:shd w:fill="F3F4F6"/>
            <w:tcMar>
              <w:top w:w="80" w:type="dxa"/>
              <w:start w:w="80" w:type="dxa"/>
              <w:bottom w:w="80" w:type="dxa"/>
              <w:end w:w="80" w:type="dxa"/>
            </w:tcMar>
            <w:vAlign w:val="top"/>
          </w:tcPr>
          <w:p>
            <w:r>
              <w:rPr>
                <w:rFonts w:ascii="Arial" w:hAnsi="Arial" w:eastAsia="Arial"/>
                <w:b/>
                <w:color w:val="4B0F4F"/>
                <w:sz w:val="14"/>
              </w:rPr>
              <w:t>29 mai - 20 juin 2026</w:t>
            </w:r>
          </w:p>
        </w:tc>
        <w:tc>
          <w:tcPr>
            <w:tcW w:type="dxa" w:w="2200"/>
            <w:shd w:fill="F3F4F6"/>
            <w:tcMar>
              <w:top w:w="80" w:type="dxa"/>
              <w:start w:w="80" w:type="dxa"/>
              <w:bottom w:w="80" w:type="dxa"/>
              <w:end w:w="80" w:type="dxa"/>
            </w:tcMar>
            <w:vAlign w:val="top"/>
          </w:tcPr>
          <w:p>
            <w:r>
              <w:rPr>
                <w:rFonts w:ascii="Arial" w:hAnsi="Arial" w:eastAsia="Arial"/>
                <w:sz w:val="14"/>
              </w:rPr>
              <w:t>Rencontres retraite maladie / invalidité / handicap</w:t>
            </w:r>
          </w:p>
        </w:tc>
        <w:tc>
          <w:tcPr>
            <w:tcW w:type="dxa" w:w="3600"/>
            <w:shd w:fill="F3F4F6"/>
            <w:tcMar>
              <w:top w:w="80" w:type="dxa"/>
              <w:start w:w="80" w:type="dxa"/>
              <w:bottom w:w="80" w:type="dxa"/>
              <w:end w:w="80" w:type="dxa"/>
            </w:tcMar>
            <w:vAlign w:val="top"/>
          </w:tcPr>
          <w:p>
            <w:r>
              <w:rPr>
                <w:rFonts w:ascii="Arial" w:hAnsi="Arial" w:eastAsia="Arial"/>
                <w:sz w:val="14"/>
              </w:rPr>
              <w:t>12 500 rendez-vous, focus sur interruptions de carrière et sécurisation des droits. [S4]</w:t>
            </w:r>
          </w:p>
        </w:tc>
        <w:tc>
          <w:tcPr>
            <w:tcW w:type="dxa" w:w="3200"/>
            <w:shd w:fill="F3F4F6"/>
            <w:tcMar>
              <w:top w:w="80" w:type="dxa"/>
              <w:start w:w="80" w:type="dxa"/>
              <w:bottom w:w="80" w:type="dxa"/>
              <w:end w:w="80" w:type="dxa"/>
            </w:tcMar>
            <w:vAlign w:val="top"/>
          </w:tcPr>
          <w:p>
            <w:r>
              <w:rPr>
                <w:rFonts w:ascii="Arial" w:hAnsi="Arial" w:eastAsia="Arial"/>
                <w:sz w:val="14"/>
              </w:rPr>
              <w:t>Data qualité carrière, pièces justificatives, parcours utilisateurs, services en ligne, conseillers.</w:t>
            </w:r>
          </w:p>
        </w:tc>
      </w:tr>
      <w:tr>
        <w:tc>
          <w:tcPr>
            <w:tcW w:type="dxa" w:w="1550"/>
            <w:shd w:fill="FFFFFF"/>
            <w:tcMar>
              <w:top w:w="80" w:type="dxa"/>
              <w:start w:w="80" w:type="dxa"/>
              <w:bottom w:w="80" w:type="dxa"/>
              <w:end w:w="80" w:type="dxa"/>
            </w:tcMar>
            <w:vAlign w:val="top"/>
          </w:tcPr>
          <w:p>
            <w:r>
              <w:rPr>
                <w:rFonts w:ascii="Arial" w:hAnsi="Arial" w:eastAsia="Arial"/>
                <w:b/>
                <w:color w:val="4B0F4F"/>
                <w:sz w:val="14"/>
              </w:rPr>
              <w:t>1er juin 2026</w:t>
            </w:r>
          </w:p>
        </w:tc>
        <w:tc>
          <w:tcPr>
            <w:tcW w:type="dxa" w:w="2200"/>
            <w:shd w:fill="FFFFFF"/>
            <w:tcMar>
              <w:top w:w="80" w:type="dxa"/>
              <w:start w:w="80" w:type="dxa"/>
              <w:bottom w:w="80" w:type="dxa"/>
              <w:end w:w="80" w:type="dxa"/>
            </w:tcMar>
            <w:vAlign w:val="top"/>
          </w:tcPr>
          <w:p>
            <w:r>
              <w:rPr>
                <w:rFonts w:ascii="Arial" w:hAnsi="Arial" w:eastAsia="Arial"/>
                <w:sz w:val="14"/>
              </w:rPr>
              <w:t>Messages frauduleux</w:t>
            </w:r>
          </w:p>
        </w:tc>
        <w:tc>
          <w:tcPr>
            <w:tcW w:type="dxa" w:w="3600"/>
            <w:shd w:fill="FFFFFF"/>
            <w:tcMar>
              <w:top w:w="80" w:type="dxa"/>
              <w:start w:w="80" w:type="dxa"/>
              <w:bottom w:w="80" w:type="dxa"/>
              <w:end w:w="80" w:type="dxa"/>
            </w:tcMar>
            <w:vAlign w:val="top"/>
          </w:tcPr>
          <w:p>
            <w:r>
              <w:rPr>
                <w:rFonts w:ascii="Arial" w:hAnsi="Arial" w:eastAsia="Arial"/>
                <w:sz w:val="14"/>
              </w:rPr>
              <w:t>Alertes sur usurpation d’identité par SMS, appels, emails et publicités. [S6]</w:t>
            </w:r>
          </w:p>
        </w:tc>
        <w:tc>
          <w:tcPr>
            <w:tcW w:type="dxa" w:w="3200"/>
            <w:shd w:fill="FFFFFF"/>
            <w:tcMar>
              <w:top w:w="80" w:type="dxa"/>
              <w:start w:w="80" w:type="dxa"/>
              <w:bottom w:w="80" w:type="dxa"/>
              <w:end w:w="80" w:type="dxa"/>
            </w:tcMar>
            <w:vAlign w:val="top"/>
          </w:tcPr>
          <w:p>
            <w:r>
              <w:rPr>
                <w:rFonts w:ascii="Arial" w:hAnsi="Arial" w:eastAsia="Arial"/>
                <w:sz w:val="14"/>
              </w:rPr>
              <w:t>Cybersécurité, anti-phishing, identité numérique, prévention, détection et remontée incidents.</w:t>
            </w:r>
          </w:p>
        </w:tc>
      </w:tr>
      <w:tr>
        <w:tc>
          <w:tcPr>
            <w:tcW w:type="dxa" w:w="1550"/>
            <w:shd w:fill="F3F4F6"/>
            <w:tcMar>
              <w:top w:w="80" w:type="dxa"/>
              <w:start w:w="80" w:type="dxa"/>
              <w:bottom w:w="80" w:type="dxa"/>
              <w:end w:w="80" w:type="dxa"/>
            </w:tcMar>
            <w:vAlign w:val="top"/>
          </w:tcPr>
          <w:p>
            <w:r>
              <w:rPr>
                <w:rFonts w:ascii="Arial" w:hAnsi="Arial" w:eastAsia="Arial"/>
                <w:b/>
                <w:color w:val="4B0F4F"/>
                <w:sz w:val="14"/>
              </w:rPr>
              <w:t>2025-2026</w:t>
            </w:r>
          </w:p>
        </w:tc>
        <w:tc>
          <w:tcPr>
            <w:tcW w:type="dxa" w:w="2200"/>
            <w:shd w:fill="F3F4F6"/>
            <w:tcMar>
              <w:top w:w="80" w:type="dxa"/>
              <w:start w:w="80" w:type="dxa"/>
              <w:bottom w:w="80" w:type="dxa"/>
              <w:end w:w="80" w:type="dxa"/>
            </w:tcMar>
            <w:vAlign w:val="top"/>
          </w:tcPr>
          <w:p>
            <w:r>
              <w:rPr>
                <w:rFonts w:ascii="Arial" w:hAnsi="Arial" w:eastAsia="Arial"/>
                <w:sz w:val="14"/>
              </w:rPr>
              <w:t>Services en ligne et visio</w:t>
            </w:r>
          </w:p>
        </w:tc>
        <w:tc>
          <w:tcPr>
            <w:tcW w:type="dxa" w:w="3600"/>
            <w:shd w:fill="F3F4F6"/>
            <w:tcMar>
              <w:top w:w="80" w:type="dxa"/>
              <w:start w:w="80" w:type="dxa"/>
              <w:bottom w:w="80" w:type="dxa"/>
              <w:end w:w="80" w:type="dxa"/>
            </w:tcMar>
            <w:vAlign w:val="top"/>
          </w:tcPr>
          <w:p>
            <w:r>
              <w:rPr>
                <w:rFonts w:ascii="Arial" w:hAnsi="Arial" w:eastAsia="Arial"/>
                <w:sz w:val="14"/>
              </w:rPr>
              <w:t>Espace personnel amélioré, “Mes premiers pas vers la retraite”, entretiens visio, Acceo, webinaires. [S1]</w:t>
            </w:r>
          </w:p>
        </w:tc>
        <w:tc>
          <w:tcPr>
            <w:tcW w:type="dxa" w:w="3200"/>
            <w:shd w:fill="F3F4F6"/>
            <w:tcMar>
              <w:top w:w="80" w:type="dxa"/>
              <w:start w:w="80" w:type="dxa"/>
              <w:bottom w:w="80" w:type="dxa"/>
              <w:end w:w="80" w:type="dxa"/>
            </w:tcMar>
            <w:vAlign w:val="top"/>
          </w:tcPr>
          <w:p>
            <w:r>
              <w:rPr>
                <w:rFonts w:ascii="Arial" w:hAnsi="Arial" w:eastAsia="Arial"/>
                <w:sz w:val="14"/>
              </w:rPr>
              <w:t>UX, accessibilité, omnicanal, qualité de service, support, adoption digitale.</w:t>
            </w:r>
          </w:p>
        </w:tc>
      </w:tr>
      <w:tr>
        <w:tc>
          <w:tcPr>
            <w:tcW w:type="dxa" w:w="1550"/>
            <w:shd w:fill="FFFFFF"/>
            <w:tcMar>
              <w:top w:w="80" w:type="dxa"/>
              <w:start w:w="80" w:type="dxa"/>
              <w:bottom w:w="80" w:type="dxa"/>
              <w:end w:w="80" w:type="dxa"/>
            </w:tcMar>
            <w:vAlign w:val="top"/>
          </w:tcPr>
          <w:p>
            <w:r>
              <w:rPr>
                <w:rFonts w:ascii="Arial" w:hAnsi="Arial" w:eastAsia="Arial"/>
                <w:b/>
                <w:color w:val="4B0F4F"/>
                <w:sz w:val="14"/>
              </w:rPr>
              <w:t>2025-2027</w:t>
            </w:r>
          </w:p>
        </w:tc>
        <w:tc>
          <w:tcPr>
            <w:tcW w:type="dxa" w:w="2200"/>
            <w:shd w:fill="FFFFFF"/>
            <w:tcMar>
              <w:top w:w="80" w:type="dxa"/>
              <w:start w:w="80" w:type="dxa"/>
              <w:bottom w:w="80" w:type="dxa"/>
              <w:end w:w="80" w:type="dxa"/>
            </w:tcMar>
            <w:vAlign w:val="top"/>
          </w:tcPr>
          <w:p>
            <w:r>
              <w:rPr>
                <w:rFonts w:ascii="Arial" w:hAnsi="Arial" w:eastAsia="Arial"/>
                <w:sz w:val="14"/>
              </w:rPr>
              <w:t>SMI2</w:t>
            </w:r>
          </w:p>
        </w:tc>
        <w:tc>
          <w:tcPr>
            <w:tcW w:type="dxa" w:w="3600"/>
            <w:shd w:fill="FFFFFF"/>
            <w:tcMar>
              <w:top w:w="80" w:type="dxa"/>
              <w:start w:w="80" w:type="dxa"/>
              <w:bottom w:w="80" w:type="dxa"/>
              <w:end w:w="80" w:type="dxa"/>
            </w:tcMar>
            <w:vAlign w:val="top"/>
          </w:tcPr>
          <w:p>
            <w:r>
              <w:rPr>
                <w:rFonts w:ascii="Arial" w:hAnsi="Arial" w:eastAsia="Arial"/>
                <w:sz w:val="14"/>
              </w:rPr>
              <w:t>Programme modulaire, intelligent et intégré, centré sur la donnée, l’IA et la souveraineté. [S1]</w:t>
            </w:r>
          </w:p>
        </w:tc>
        <w:tc>
          <w:tcPr>
            <w:tcW w:type="dxa" w:w="3200"/>
            <w:shd w:fill="FFFFFF"/>
            <w:tcMar>
              <w:top w:w="80" w:type="dxa"/>
              <w:start w:w="80" w:type="dxa"/>
              <w:bottom w:w="80" w:type="dxa"/>
              <w:end w:w="80" w:type="dxa"/>
            </w:tcMar>
            <w:vAlign w:val="top"/>
          </w:tcPr>
          <w:p>
            <w:r>
              <w:rPr>
                <w:rFonts w:ascii="Arial" w:hAnsi="Arial" w:eastAsia="Arial"/>
                <w:sz w:val="14"/>
              </w:rPr>
              <w:t>Architecture, data, IA responsable, souveraineté, open source, gestion des compétences.</w:t>
            </w:r>
          </w:p>
        </w:tc>
      </w:tr>
    </w:tbl>
    <w:p>
      <w:r>
        <w:rPr>
          <w:b/>
          <w:color w:val="4B0F4F"/>
          <w:sz w:val="24"/>
        </w:rPr>
        <w:t>Signaux faibles pour 2027</w:t>
      </w:r>
    </w:p>
    <w:p>
      <w:pPr>
        <w:pStyle w:val="ListBullet"/>
      </w:pPr>
      <w:r>
        <w:t>La fin du COM 2023-2026 devrait provoquer des arbitrages sur les indicateurs de service, de performance économique et de satisfaction de la prochaine période.</w:t>
      </w:r>
    </w:p>
    <w:p>
      <w:pPr>
        <w:pStyle w:val="ListBullet"/>
      </w:pPr>
      <w:r>
        <w:t>La fin du PTSI ne signifie pas la fin des besoins : elle ouvre une phase de rationalisation, maintien en conditions opérationnelles et capacité d’évolution rapide.</w:t>
      </w:r>
    </w:p>
    <w:p>
      <w:pPr>
        <w:pStyle w:val="ListBullet"/>
      </w:pPr>
      <w:r>
        <w:t>La souveraineté n’est pas un sujet théorique : le rapport cite explicitement indépendance logicielle, hébergement local, datacenter de Gradignan et open source.</w:t>
      </w:r>
    </w:p>
    <w:p>
      <w:pPr>
        <w:pStyle w:val="ListBullet"/>
      </w:pPr>
      <w:r>
        <w:t>L’IA est abordée comme une trajectoire raisonnée et maîtrisée : le bon angle n’est pas « IA magique », mais cadrage, gouvernance, sécurité, cas d’usage métiers et acculturation.</w:t>
      </w:r>
    </w:p>
    <w:p>
      <w:pPr>
        <w:pStyle w:val="ListBullet"/>
      </w:pPr>
      <w:r>
        <w:t>La relation client devient massivement hybride : agences, téléphone, visioconférence, espace personnel, webinaires, services inter-régimes et selfcare.</w:t>
      </w:r>
    </w:p>
    <w:p>
      <w:r>
        <w:br w:type="page"/>
      </w:r>
    </w:p>
    <w:p>
      <w:pPr>
        <w:jc w:val="left"/>
      </w:pPr>
      <w:r>
        <w:rPr>
          <w:b/>
          <w:color w:val="6C1D74"/>
          <w:sz w:val="36"/>
        </w:rPr>
        <w:t>6. Accroches commerciales et questions utiles</w:t>
      </w:r>
    </w:p>
    <w:p>
      <w:r>
        <w:rPr>
          <w:i/>
          <w:color w:val="2F2F2F"/>
          <w:sz w:val="20"/>
        </w:rPr>
        <w:t>Des formulations prêtes à l’emploi pour créer du lien avec les interlocuteurs informatiques.</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900"/>
            <w:shd w:fill="6C1D74"/>
            <w:tcMar>
              <w:top w:w="90" w:type="dxa"/>
              <w:start w:w="90" w:type="dxa"/>
              <w:bottom w:w="90" w:type="dxa"/>
              <w:end w:w="90" w:type="dxa"/>
            </w:tcMar>
            <w:vAlign w:val="top"/>
          </w:tcPr>
          <w:p>
            <w:pPr>
              <w:jc w:val="center"/>
            </w:pPr>
            <w:r>
              <w:rPr>
                <w:rFonts w:ascii="Arial" w:hAnsi="Arial" w:eastAsia="Arial"/>
                <w:b/>
                <w:color w:val="FFFFFF"/>
                <w:sz w:val="17"/>
              </w:rPr>
              <w:t>Interlocuteur cible</w:t>
            </w:r>
          </w:p>
        </w:tc>
        <w:tc>
          <w:tcPr>
            <w:tcW w:type="dxa" w:w="4900"/>
            <w:shd w:fill="6C1D74"/>
            <w:tcMar>
              <w:top w:w="90" w:type="dxa"/>
              <w:start w:w="90" w:type="dxa"/>
              <w:bottom w:w="90" w:type="dxa"/>
              <w:end w:w="90" w:type="dxa"/>
            </w:tcMar>
            <w:vAlign w:val="top"/>
          </w:tcPr>
          <w:p>
            <w:pPr>
              <w:jc w:val="center"/>
            </w:pPr>
            <w:r>
              <w:rPr>
                <w:rFonts w:ascii="Arial" w:hAnsi="Arial" w:eastAsia="Arial"/>
                <w:b/>
                <w:color w:val="FFFFFF"/>
                <w:sz w:val="17"/>
              </w:rPr>
              <w:t>Accroche possible</w:t>
            </w:r>
          </w:p>
        </w:tc>
        <w:tc>
          <w:tcPr>
            <w:tcW w:type="dxa" w:w="2700"/>
            <w:shd w:fill="6C1D74"/>
            <w:tcMar>
              <w:top w:w="90" w:type="dxa"/>
              <w:start w:w="90" w:type="dxa"/>
              <w:bottom w:w="90" w:type="dxa"/>
              <w:end w:w="90" w:type="dxa"/>
            </w:tcMar>
            <w:vAlign w:val="top"/>
          </w:tcPr>
          <w:p>
            <w:pPr>
              <w:jc w:val="center"/>
            </w:pPr>
            <w:r>
              <w:rPr>
                <w:rFonts w:ascii="Arial" w:hAnsi="Arial" w:eastAsia="Arial"/>
                <w:b/>
                <w:color w:val="FFFFFF"/>
                <w:sz w:val="17"/>
              </w:rPr>
              <w:t>Intention commerciale</w:t>
            </w:r>
          </w:p>
        </w:tc>
      </w:tr>
      <w:tr>
        <w:tc>
          <w:tcPr>
            <w:tcW w:type="dxa" w:w="1900"/>
            <w:shd w:fill="FFFFFF"/>
            <w:tcMar>
              <w:top w:w="80" w:type="dxa"/>
              <w:start w:w="80" w:type="dxa"/>
              <w:bottom w:w="80" w:type="dxa"/>
              <w:end w:w="80" w:type="dxa"/>
            </w:tcMar>
            <w:vAlign w:val="top"/>
          </w:tcPr>
          <w:p>
            <w:r>
              <w:rPr>
                <w:rFonts w:ascii="Arial" w:hAnsi="Arial" w:eastAsia="Arial"/>
                <w:b/>
                <w:color w:val="4B0F4F"/>
                <w:sz w:val="14"/>
              </w:rPr>
              <w:t>DSI-RC / Direction SI</w:t>
            </w:r>
          </w:p>
        </w:tc>
        <w:tc>
          <w:tcPr>
            <w:tcW w:type="dxa" w:w="4900"/>
            <w:shd w:fill="FFFFFF"/>
            <w:tcMar>
              <w:top w:w="80" w:type="dxa"/>
              <w:start w:w="80" w:type="dxa"/>
              <w:bottom w:w="80" w:type="dxa"/>
              <w:end w:w="80" w:type="dxa"/>
            </w:tcMar>
            <w:vAlign w:val="top"/>
          </w:tcPr>
          <w:p>
            <w:r>
              <w:rPr>
                <w:rFonts w:ascii="Arial" w:hAnsi="Arial" w:eastAsia="Arial"/>
                <w:sz w:val="14"/>
              </w:rPr>
              <w:t>« J’ai vu que l’Agirc-Arrco bascule d’un SI unifié vers SMI2, avec une trajectoire data, IA et souveraineté. J’aimerais comprendre quels chantiers sont les plus critiques côté compétences et sécurisation de la trajectoire. »</w:t>
            </w:r>
          </w:p>
        </w:tc>
        <w:tc>
          <w:tcPr>
            <w:tcW w:type="dxa" w:w="2700"/>
            <w:shd w:fill="FFFFFF"/>
            <w:tcMar>
              <w:top w:w="80" w:type="dxa"/>
              <w:start w:w="80" w:type="dxa"/>
              <w:bottom w:w="80" w:type="dxa"/>
              <w:end w:w="80" w:type="dxa"/>
            </w:tcMar>
            <w:vAlign w:val="top"/>
          </w:tcPr>
          <w:p>
            <w:r>
              <w:rPr>
                <w:rFonts w:ascii="Arial" w:hAnsi="Arial" w:eastAsia="Arial"/>
                <w:sz w:val="14"/>
              </w:rPr>
              <w:t>Ne pas vendre tout de suite un CV. Ouvrir sur les priorités, la roadmap post-COM et les tensions de delivery.</w:t>
            </w:r>
          </w:p>
        </w:tc>
      </w:tr>
      <w:tr>
        <w:tc>
          <w:tcPr>
            <w:tcW w:type="dxa" w:w="1900"/>
            <w:shd w:fill="F3F4F6"/>
            <w:tcMar>
              <w:top w:w="80" w:type="dxa"/>
              <w:start w:w="80" w:type="dxa"/>
              <w:bottom w:w="80" w:type="dxa"/>
              <w:end w:w="80" w:type="dxa"/>
            </w:tcMar>
            <w:vAlign w:val="top"/>
          </w:tcPr>
          <w:p>
            <w:r>
              <w:rPr>
                <w:rFonts w:ascii="Arial" w:hAnsi="Arial" w:eastAsia="Arial"/>
                <w:b/>
                <w:color w:val="4B0F4F"/>
                <w:sz w:val="14"/>
              </w:rPr>
              <w:t>DTI</w:t>
            </w:r>
          </w:p>
        </w:tc>
        <w:tc>
          <w:tcPr>
            <w:tcW w:type="dxa" w:w="4900"/>
            <w:shd w:fill="F3F4F6"/>
            <w:tcMar>
              <w:top w:w="80" w:type="dxa"/>
              <w:start w:w="80" w:type="dxa"/>
              <w:bottom w:w="80" w:type="dxa"/>
              <w:end w:w="80" w:type="dxa"/>
            </w:tcMar>
            <w:vAlign w:val="top"/>
          </w:tcPr>
          <w:p>
            <w:r>
              <w:rPr>
                <w:rFonts w:ascii="Arial" w:hAnsi="Arial" w:eastAsia="Arial"/>
                <w:sz w:val="14"/>
              </w:rPr>
              <w:t>« Le chantier souveraineté semble très structurant : indépendance logicielle, hébergement local, open source, Gradignan. Est-ce aujourd’hui un sujet d’architecture, d’exploitation, de sécurité ou de sourcing de compétences ? »</w:t>
            </w:r>
          </w:p>
        </w:tc>
        <w:tc>
          <w:tcPr>
            <w:tcW w:type="dxa" w:w="2700"/>
            <w:shd w:fill="F3F4F6"/>
            <w:tcMar>
              <w:top w:w="80" w:type="dxa"/>
              <w:start w:w="80" w:type="dxa"/>
              <w:bottom w:w="80" w:type="dxa"/>
              <w:end w:w="80" w:type="dxa"/>
            </w:tcMar>
            <w:vAlign w:val="top"/>
          </w:tcPr>
          <w:p>
            <w:r>
              <w:rPr>
                <w:rFonts w:ascii="Arial" w:hAnsi="Arial" w:eastAsia="Arial"/>
                <w:sz w:val="14"/>
              </w:rPr>
              <w:t>Valoriser des profils architecture, infrastructure, sécurité, open source, DevSecOps.</w:t>
            </w:r>
          </w:p>
        </w:tc>
      </w:tr>
      <w:tr>
        <w:tc>
          <w:tcPr>
            <w:tcW w:type="dxa" w:w="1900"/>
            <w:shd w:fill="FFFFFF"/>
            <w:tcMar>
              <w:top w:w="80" w:type="dxa"/>
              <w:start w:w="80" w:type="dxa"/>
              <w:bottom w:w="80" w:type="dxa"/>
              <w:end w:w="80" w:type="dxa"/>
            </w:tcMar>
            <w:vAlign w:val="top"/>
          </w:tcPr>
          <w:p>
            <w:r>
              <w:rPr>
                <w:rFonts w:ascii="Arial" w:hAnsi="Arial" w:eastAsia="Arial"/>
                <w:b/>
                <w:color w:val="4B0F4F"/>
                <w:sz w:val="14"/>
              </w:rPr>
              <w:t>DRCP</w:t>
            </w:r>
          </w:p>
        </w:tc>
        <w:tc>
          <w:tcPr>
            <w:tcW w:type="dxa" w:w="4900"/>
            <w:shd w:fill="FFFFFF"/>
            <w:tcMar>
              <w:top w:w="80" w:type="dxa"/>
              <w:start w:w="80" w:type="dxa"/>
              <w:bottom w:w="80" w:type="dxa"/>
              <w:end w:w="80" w:type="dxa"/>
            </w:tcMar>
            <w:vAlign w:val="top"/>
          </w:tcPr>
          <w:p>
            <w:r>
              <w:rPr>
                <w:rFonts w:ascii="Arial" w:hAnsi="Arial" w:eastAsia="Arial"/>
                <w:sz w:val="14"/>
              </w:rPr>
              <w:t>« La disponibilité SI-RC à 99,93 % est très élevée. Avec la centralisation de l’exploitation et les pics de simulation ou de rendez-vous, où sont les principaux enjeux : supervision, incident, capacity, performance ou support ? »</w:t>
            </w:r>
          </w:p>
        </w:tc>
        <w:tc>
          <w:tcPr>
            <w:tcW w:type="dxa" w:w="2700"/>
            <w:shd w:fill="FFFFFF"/>
            <w:tcMar>
              <w:top w:w="80" w:type="dxa"/>
              <w:start w:w="80" w:type="dxa"/>
              <w:bottom w:w="80" w:type="dxa"/>
              <w:end w:w="80" w:type="dxa"/>
            </w:tcMar>
            <w:vAlign w:val="top"/>
          </w:tcPr>
          <w:p>
            <w:r>
              <w:rPr>
                <w:rFonts w:ascii="Arial" w:hAnsi="Arial" w:eastAsia="Arial"/>
                <w:sz w:val="14"/>
              </w:rPr>
              <w:t>Parler qualité de service, run critique, SRE, observabilité, ITSM, astreinte, industrialisation.</w:t>
            </w:r>
          </w:p>
        </w:tc>
      </w:tr>
      <w:tr>
        <w:tc>
          <w:tcPr>
            <w:tcW w:type="dxa" w:w="1900"/>
            <w:shd w:fill="F3F4F6"/>
            <w:tcMar>
              <w:top w:w="80" w:type="dxa"/>
              <w:start w:w="80" w:type="dxa"/>
              <w:bottom w:w="80" w:type="dxa"/>
              <w:end w:w="80" w:type="dxa"/>
            </w:tcMar>
            <w:vAlign w:val="top"/>
          </w:tcPr>
          <w:p>
            <w:r>
              <w:rPr>
                <w:rFonts w:ascii="Arial" w:hAnsi="Arial" w:eastAsia="Arial"/>
                <w:b/>
                <w:color w:val="4B0F4F"/>
                <w:sz w:val="14"/>
              </w:rPr>
              <w:t>CNRI</w:t>
            </w:r>
          </w:p>
        </w:tc>
        <w:tc>
          <w:tcPr>
            <w:tcW w:type="dxa" w:w="4900"/>
            <w:shd w:fill="F3F4F6"/>
            <w:tcMar>
              <w:top w:w="80" w:type="dxa"/>
              <w:start w:w="80" w:type="dxa"/>
              <w:bottom w:w="80" w:type="dxa"/>
              <w:end w:w="80" w:type="dxa"/>
            </w:tcMar>
            <w:vAlign w:val="top"/>
          </w:tcPr>
          <w:p>
            <w:r>
              <w:rPr>
                <w:rFonts w:ascii="Arial" w:hAnsi="Arial" w:eastAsia="Arial"/>
                <w:sz w:val="14"/>
              </w:rPr>
              <w:t>« Entre la retraite progressive 2026, les évolutions de parcours et le SI unifié, j’imagine que la recette et la non-régression deviennent critiques. Comment sécurisez-vous les campagnes de tests et les mises en production ? »</w:t>
            </w:r>
          </w:p>
        </w:tc>
        <w:tc>
          <w:tcPr>
            <w:tcW w:type="dxa" w:w="2700"/>
            <w:shd w:fill="F3F4F6"/>
            <w:tcMar>
              <w:top w:w="80" w:type="dxa"/>
              <w:start w:w="80" w:type="dxa"/>
              <w:bottom w:w="80" w:type="dxa"/>
              <w:end w:w="80" w:type="dxa"/>
            </w:tcMar>
            <w:vAlign w:val="top"/>
          </w:tcPr>
          <w:p>
            <w:r>
              <w:rPr>
                <w:rFonts w:ascii="Arial" w:hAnsi="Arial" w:eastAsia="Arial"/>
                <w:sz w:val="14"/>
              </w:rPr>
              <w:t>Positionner QA, test auto, recette fonctionnelle retraite, intégration, gestion anomalies.</w:t>
            </w:r>
          </w:p>
        </w:tc>
      </w:tr>
      <w:tr>
        <w:tc>
          <w:tcPr>
            <w:tcW w:type="dxa" w:w="1900"/>
            <w:shd w:fill="FFFFFF"/>
            <w:tcMar>
              <w:top w:w="80" w:type="dxa"/>
              <w:start w:w="80" w:type="dxa"/>
              <w:bottom w:w="80" w:type="dxa"/>
              <w:end w:w="80" w:type="dxa"/>
            </w:tcMar>
            <w:vAlign w:val="top"/>
          </w:tcPr>
          <w:p>
            <w:r>
              <w:rPr>
                <w:rFonts w:ascii="Arial" w:hAnsi="Arial" w:eastAsia="Arial"/>
                <w:b/>
                <w:color w:val="4B0F4F"/>
                <w:sz w:val="14"/>
              </w:rPr>
              <w:t>Responsable data / innovation</w:t>
            </w:r>
          </w:p>
        </w:tc>
        <w:tc>
          <w:tcPr>
            <w:tcW w:type="dxa" w:w="4900"/>
            <w:shd w:fill="FFFFFF"/>
            <w:tcMar>
              <w:top w:w="80" w:type="dxa"/>
              <w:start w:w="80" w:type="dxa"/>
              <w:bottom w:w="80" w:type="dxa"/>
              <w:end w:w="80" w:type="dxa"/>
            </w:tcMar>
            <w:vAlign w:val="top"/>
          </w:tcPr>
          <w:p>
            <w:r>
              <w:rPr>
                <w:rFonts w:ascii="Arial" w:hAnsi="Arial" w:eastAsia="Arial"/>
                <w:sz w:val="14"/>
              </w:rPr>
              <w:t>« SMI2 met la donnée et l’IA au centre, mais dans une logique maîtrisée. Cherchez-vous plutôt à structurer la gouvernance data, qualifier des cas d’usage IA ou sécuriser l’industrialisation ? »</w:t>
            </w:r>
          </w:p>
        </w:tc>
        <w:tc>
          <w:tcPr>
            <w:tcW w:type="dxa" w:w="2700"/>
            <w:shd w:fill="FFFFFF"/>
            <w:tcMar>
              <w:top w:w="80" w:type="dxa"/>
              <w:start w:w="80" w:type="dxa"/>
              <w:bottom w:w="80" w:type="dxa"/>
              <w:end w:w="80" w:type="dxa"/>
            </w:tcMar>
            <w:vAlign w:val="top"/>
          </w:tcPr>
          <w:p>
            <w:r>
              <w:rPr>
                <w:rFonts w:ascii="Arial" w:hAnsi="Arial" w:eastAsia="Arial"/>
                <w:sz w:val="14"/>
              </w:rPr>
              <w:t>Éviter le buzzword IA ; parler gouvernance, cas d’usage, MLOps/LLMOps, qualité et sécurité.</w:t>
            </w:r>
          </w:p>
        </w:tc>
      </w:tr>
      <w:tr>
        <w:tc>
          <w:tcPr>
            <w:tcW w:type="dxa" w:w="1900"/>
            <w:shd w:fill="F3F4F6"/>
            <w:tcMar>
              <w:top w:w="80" w:type="dxa"/>
              <w:start w:w="80" w:type="dxa"/>
              <w:bottom w:w="80" w:type="dxa"/>
              <w:end w:w="80" w:type="dxa"/>
            </w:tcMar>
            <w:vAlign w:val="top"/>
          </w:tcPr>
          <w:p>
            <w:r>
              <w:rPr>
                <w:rFonts w:ascii="Arial" w:hAnsi="Arial" w:eastAsia="Arial"/>
                <w:b/>
                <w:color w:val="4B0F4F"/>
                <w:sz w:val="14"/>
              </w:rPr>
              <w:t>Métiers / relation client</w:t>
            </w:r>
          </w:p>
        </w:tc>
        <w:tc>
          <w:tcPr>
            <w:tcW w:type="dxa" w:w="4900"/>
            <w:shd w:fill="F3F4F6"/>
            <w:tcMar>
              <w:top w:w="80" w:type="dxa"/>
              <w:start w:w="80" w:type="dxa"/>
              <w:bottom w:w="80" w:type="dxa"/>
              <w:end w:w="80" w:type="dxa"/>
            </w:tcMar>
            <w:vAlign w:val="top"/>
          </w:tcPr>
          <w:p>
            <w:r>
              <w:rPr>
                <w:rFonts w:ascii="Arial" w:hAnsi="Arial" w:eastAsia="Arial"/>
                <w:sz w:val="14"/>
              </w:rPr>
              <w:t>« Les services en ligne, la visio et les webinaires semblent prendre une place importante. Est-ce que les irritants sont davantage sur l’expérience utilisateur, la qualité de données ou la fluidité des parcours de bout en bout ? »</w:t>
            </w:r>
          </w:p>
        </w:tc>
        <w:tc>
          <w:tcPr>
            <w:tcW w:type="dxa" w:w="2700"/>
            <w:shd w:fill="F3F4F6"/>
            <w:tcMar>
              <w:top w:w="80" w:type="dxa"/>
              <w:start w:w="80" w:type="dxa"/>
              <w:bottom w:w="80" w:type="dxa"/>
              <w:end w:w="80" w:type="dxa"/>
            </w:tcMar>
            <w:vAlign w:val="top"/>
          </w:tcPr>
          <w:p>
            <w:r>
              <w:rPr>
                <w:rFonts w:ascii="Arial" w:hAnsi="Arial" w:eastAsia="Arial"/>
                <w:sz w:val="14"/>
              </w:rPr>
              <w:t>Créer un pont entre métier, UX, production et SI.</w:t>
            </w:r>
          </w:p>
        </w:tc>
      </w:tr>
    </w:tbl>
    <w:p>
      <w:r>
        <w:rPr>
          <w:b/>
          <w:color w:val="4B0F4F"/>
          <w:sz w:val="24"/>
        </w:rPr>
        <w:t>Questions ouvertes à poser en rendez-vous</w:t>
      </w:r>
    </w:p>
    <w:p>
      <w:pPr>
        <w:pStyle w:val="ListBullet"/>
      </w:pPr>
      <w:r>
        <w:t>Quels sont les chantiers SI les plus sensibles pour la période post-unification : run, architecture, data, sécurité, recette ou transformation des pratiques ?</w:t>
      </w:r>
    </w:p>
    <w:p>
      <w:pPr>
        <w:pStyle w:val="ListBullet"/>
      </w:pPr>
      <w:r>
        <w:t>Sur SMI2, quels sont les profils les plus difficiles à trouver : architectes, data, cyber, DevSecOps, intégration, test, PMO ou conduite du changement ?</w:t>
      </w:r>
    </w:p>
    <w:p>
      <w:pPr>
        <w:pStyle w:val="ListBullet"/>
      </w:pPr>
      <w:r>
        <w:t>La souveraineté numérique se traduit-elle déjà par des choix concrets d’architecture, de fournisseurs, d’hébergement ou d’open source ?</w:t>
      </w:r>
    </w:p>
    <w:p>
      <w:pPr>
        <w:pStyle w:val="ListBullet"/>
      </w:pPr>
      <w:r>
        <w:t>Comment mesurez-vous la qualité de service côté utilisateurs internes et assurés : disponibilité, NPS, délais de traitement, réclamations, taux d’anomalies ?</w:t>
      </w:r>
    </w:p>
    <w:p>
      <w:pPr>
        <w:pStyle w:val="ListBullet"/>
      </w:pPr>
      <w:r>
        <w:t>Où la DSI a-t-elle le plus besoin de renfort externe : cadrage, build, recette, production, documentation, sécurisation des mises en production ?</w:t>
      </w:r>
    </w:p>
    <w:p>
      <w:pPr>
        <w:pStyle w:val="ListBullet"/>
      </w:pPr>
      <w:r>
        <w:t>Quels irritants ressortez-vous des campagnes 2026 : simulations, rendez-vous, espaces personnels, DSN-Fiab, relation entreprises, parcours inter-régimes ?</w:t>
      </w:r>
    </w:p>
    <w:tbl>
      <w:tblPr>
        <w:tblW w:type="auto" w:w="0"/>
        <w:jc w:val="center"/>
        <w:tblLook w:firstColumn="1" w:firstRow="1" w:lastColumn="0" w:lastRow="0" w:noHBand="0" w:noVBand="1" w:val="04A0"/>
      </w:tblPr>
      <w:tblGrid>
        <w:gridCol w:w="10426"/>
      </w:tblGrid>
      <w:tr>
        <w:tc>
          <w:tcPr>
            <w:tcW w:type="dxa" w:w="10426"/>
            <w:shd w:fill="FDECE5"/>
            <w:tcBorders>
              <w:top w:sz="12" w:val="single" w:color="F2673A"/>
              <w:left w:sz="12" w:val="single" w:color="F2673A"/>
              <w:bottom w:sz="12" w:val="single" w:color="F2673A"/>
              <w:right w:sz="12" w:val="single" w:color="F2673A"/>
            </w:tcBorders>
            <w:tcMar>
              <w:top w:w="160" w:type="dxa"/>
              <w:start w:w="160" w:type="dxa"/>
              <w:bottom w:w="160" w:type="dxa"/>
              <w:end w:w="160" w:type="dxa"/>
            </w:tcMar>
            <w:vAlign w:val="top"/>
          </w:tcPr>
          <w:p>
            <w:r>
              <w:rPr>
                <w:rFonts w:ascii="Arial" w:hAnsi="Arial" w:eastAsia="Arial"/>
                <w:b/>
                <w:color w:val="4B0F4F"/>
                <w:sz w:val="22"/>
              </w:rPr>
              <w:t>Posture recommandée</w:t>
            </w:r>
          </w:p>
          <w:p>
            <w:r>
              <w:rPr>
                <w:rFonts w:ascii="Arial" w:hAnsi="Arial" w:eastAsia="Arial"/>
                <w:sz w:val="18"/>
              </w:rPr>
              <w:t>Se présenter comme un partenaire de sécurisation opérationnelle, pas comme un simple apporteur de CV. L’angle le plus crédible : compréhension des enjeux DSI-RC, capacité à sourcer rapidement des profils pertinents, qualification métier/technique et approche risque/qualité/service.</w:t>
            </w:r>
          </w:p>
        </w:tc>
      </w:tr>
    </w:tbl>
    <w:p/>
    <w:p>
      <w:r>
        <w:br w:type="page"/>
      </w:r>
    </w:p>
    <w:p>
      <w:pPr>
        <w:jc w:val="left"/>
      </w:pPr>
      <w:r>
        <w:rPr>
          <w:b/>
          <w:color w:val="6C1D74"/>
          <w:sz w:val="36"/>
        </w:rPr>
        <w:t>7. Positionnement Tilencia / Fastor à valoriser</w:t>
      </w:r>
    </w:p>
    <w:p>
      <w:r>
        <w:rPr>
          <w:i/>
          <w:color w:val="2F2F2F"/>
          <w:sz w:val="20"/>
        </w:rPr>
        <w:t>Transformer les signaux publics en propositions concrètes de services et de profils.</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2000"/>
            <w:shd w:fill="6C1D74"/>
            <w:tcMar>
              <w:top w:w="90" w:type="dxa"/>
              <w:start w:w="90" w:type="dxa"/>
              <w:bottom w:w="90" w:type="dxa"/>
              <w:end w:w="90" w:type="dxa"/>
            </w:tcMar>
            <w:vAlign w:val="top"/>
          </w:tcPr>
          <w:p>
            <w:pPr>
              <w:jc w:val="center"/>
            </w:pPr>
            <w:r>
              <w:rPr>
                <w:rFonts w:ascii="Arial" w:hAnsi="Arial" w:eastAsia="Arial"/>
                <w:b/>
                <w:color w:val="FFFFFF"/>
                <w:sz w:val="17"/>
              </w:rPr>
              <w:t>Offre / axe</w:t>
            </w:r>
          </w:p>
        </w:tc>
        <w:tc>
          <w:tcPr>
            <w:tcW w:type="dxa" w:w="4300"/>
            <w:shd w:fill="6C1D74"/>
            <w:tcMar>
              <w:top w:w="90" w:type="dxa"/>
              <w:start w:w="90" w:type="dxa"/>
              <w:bottom w:w="90" w:type="dxa"/>
              <w:end w:w="90" w:type="dxa"/>
            </w:tcMar>
            <w:vAlign w:val="top"/>
          </w:tcPr>
          <w:p>
            <w:pPr>
              <w:jc w:val="center"/>
            </w:pPr>
            <w:r>
              <w:rPr>
                <w:rFonts w:ascii="Arial" w:hAnsi="Arial" w:eastAsia="Arial"/>
                <w:b/>
                <w:color w:val="FFFFFF"/>
                <w:sz w:val="17"/>
              </w:rPr>
              <w:t>Proposition de valeur</w:t>
            </w:r>
          </w:p>
        </w:tc>
        <w:tc>
          <w:tcPr>
            <w:tcW w:type="dxa" w:w="3400"/>
            <w:shd w:fill="6C1D74"/>
            <w:tcMar>
              <w:top w:w="90" w:type="dxa"/>
              <w:start w:w="90" w:type="dxa"/>
              <w:bottom w:w="90" w:type="dxa"/>
              <w:end w:w="90" w:type="dxa"/>
            </w:tcMar>
            <w:vAlign w:val="top"/>
          </w:tcPr>
          <w:p>
            <w:pPr>
              <w:jc w:val="center"/>
            </w:pPr>
            <w:r>
              <w:rPr>
                <w:rFonts w:ascii="Arial" w:hAnsi="Arial" w:eastAsia="Arial"/>
                <w:b/>
                <w:color w:val="FFFFFF"/>
                <w:sz w:val="17"/>
              </w:rPr>
              <w:t>Profils à préqualifier</w:t>
            </w:r>
          </w:p>
        </w:tc>
      </w:tr>
      <w:tr>
        <w:tc>
          <w:tcPr>
            <w:tcW w:type="dxa" w:w="2000"/>
            <w:shd w:fill="FFFFFF"/>
            <w:tcMar>
              <w:top w:w="80" w:type="dxa"/>
              <w:start w:w="80" w:type="dxa"/>
              <w:bottom w:w="80" w:type="dxa"/>
              <w:end w:w="80" w:type="dxa"/>
            </w:tcMar>
            <w:vAlign w:val="top"/>
          </w:tcPr>
          <w:p>
            <w:r>
              <w:rPr>
                <w:rFonts w:ascii="Arial" w:hAnsi="Arial" w:eastAsia="Arial"/>
                <w:b/>
                <w:color w:val="4B0F4F"/>
                <w:sz w:val="15"/>
              </w:rPr>
              <w:t>Résilience / production</w:t>
            </w:r>
          </w:p>
        </w:tc>
        <w:tc>
          <w:tcPr>
            <w:tcW w:type="dxa" w:w="4300"/>
            <w:shd w:fill="FFFFFF"/>
            <w:tcMar>
              <w:top w:w="80" w:type="dxa"/>
              <w:start w:w="80" w:type="dxa"/>
              <w:bottom w:w="80" w:type="dxa"/>
              <w:end w:w="80" w:type="dxa"/>
            </w:tcMar>
            <w:vAlign w:val="top"/>
          </w:tcPr>
          <w:p>
            <w:r>
              <w:rPr>
                <w:rFonts w:ascii="Arial" w:hAnsi="Arial" w:eastAsia="Arial"/>
                <w:sz w:val="15"/>
              </w:rPr>
              <w:t>Accompagner la DRCP sur disponibilité, supervision, exploitation centralisée, incidents, changements, MEP, PRA/PCA.</w:t>
            </w:r>
          </w:p>
        </w:tc>
        <w:tc>
          <w:tcPr>
            <w:tcW w:type="dxa" w:w="3400"/>
            <w:shd w:fill="FFFFFF"/>
            <w:tcMar>
              <w:top w:w="80" w:type="dxa"/>
              <w:start w:w="80" w:type="dxa"/>
              <w:bottom w:w="80" w:type="dxa"/>
              <w:end w:w="80" w:type="dxa"/>
            </w:tcMar>
            <w:vAlign w:val="top"/>
          </w:tcPr>
          <w:p>
            <w:r>
              <w:rPr>
                <w:rFonts w:ascii="Arial" w:hAnsi="Arial" w:eastAsia="Arial"/>
                <w:sz w:val="15"/>
              </w:rPr>
              <w:t>Service Delivery Manager, SRE, expert observabilité, PMO run, incident/change manager, ingénieur production.</w:t>
            </w:r>
          </w:p>
        </w:tc>
      </w:tr>
      <w:tr>
        <w:tc>
          <w:tcPr>
            <w:tcW w:type="dxa" w:w="2000"/>
            <w:shd w:fill="F3F4F6"/>
            <w:tcMar>
              <w:top w:w="80" w:type="dxa"/>
              <w:start w:w="80" w:type="dxa"/>
              <w:bottom w:w="80" w:type="dxa"/>
              <w:end w:w="80" w:type="dxa"/>
            </w:tcMar>
            <w:vAlign w:val="top"/>
          </w:tcPr>
          <w:p>
            <w:r>
              <w:rPr>
                <w:rFonts w:ascii="Arial" w:hAnsi="Arial" w:eastAsia="Arial"/>
                <w:b/>
                <w:color w:val="4B0F4F"/>
                <w:sz w:val="15"/>
              </w:rPr>
              <w:t>Souveraineté / architecture</w:t>
            </w:r>
          </w:p>
        </w:tc>
        <w:tc>
          <w:tcPr>
            <w:tcW w:type="dxa" w:w="4300"/>
            <w:shd w:fill="F3F4F6"/>
            <w:tcMar>
              <w:top w:w="80" w:type="dxa"/>
              <w:start w:w="80" w:type="dxa"/>
              <w:bottom w:w="80" w:type="dxa"/>
              <w:end w:w="80" w:type="dxa"/>
            </w:tcMar>
            <w:vAlign w:val="top"/>
          </w:tcPr>
          <w:p>
            <w:r>
              <w:rPr>
                <w:rFonts w:ascii="Arial" w:hAnsi="Arial" w:eastAsia="Arial"/>
                <w:sz w:val="15"/>
              </w:rPr>
              <w:t>Aider la DTI à cadrer ou renforcer les choix d’hébergement local, open source, alternatives éditeurs, sécurité des infrastructures.</w:t>
            </w:r>
          </w:p>
        </w:tc>
        <w:tc>
          <w:tcPr>
            <w:tcW w:type="dxa" w:w="3400"/>
            <w:shd w:fill="F3F4F6"/>
            <w:tcMar>
              <w:top w:w="80" w:type="dxa"/>
              <w:start w:w="80" w:type="dxa"/>
              <w:bottom w:w="80" w:type="dxa"/>
              <w:end w:w="80" w:type="dxa"/>
            </w:tcMar>
            <w:vAlign w:val="top"/>
          </w:tcPr>
          <w:p>
            <w:r>
              <w:rPr>
                <w:rFonts w:ascii="Arial" w:hAnsi="Arial" w:eastAsia="Arial"/>
                <w:sz w:val="15"/>
              </w:rPr>
              <w:t>Architecte technique, architecte cloud souverain, expert open source, ingénieur infra, expert stockage/sauvegarde, DevSecOps.</w:t>
            </w:r>
          </w:p>
        </w:tc>
      </w:tr>
      <w:tr>
        <w:tc>
          <w:tcPr>
            <w:tcW w:type="dxa" w:w="2000"/>
            <w:shd w:fill="FFFFFF"/>
            <w:tcMar>
              <w:top w:w="80" w:type="dxa"/>
              <w:start w:w="80" w:type="dxa"/>
              <w:bottom w:w="80" w:type="dxa"/>
              <w:end w:w="80" w:type="dxa"/>
            </w:tcMar>
            <w:vAlign w:val="top"/>
          </w:tcPr>
          <w:p>
            <w:r>
              <w:rPr>
                <w:rFonts w:ascii="Arial" w:hAnsi="Arial" w:eastAsia="Arial"/>
                <w:b/>
                <w:color w:val="4B0F4F"/>
                <w:sz w:val="15"/>
              </w:rPr>
              <w:t>Recette / intégration</w:t>
            </w:r>
          </w:p>
        </w:tc>
        <w:tc>
          <w:tcPr>
            <w:tcW w:type="dxa" w:w="4300"/>
            <w:shd w:fill="FFFFFF"/>
            <w:tcMar>
              <w:top w:w="80" w:type="dxa"/>
              <w:start w:w="80" w:type="dxa"/>
              <w:bottom w:w="80" w:type="dxa"/>
              <w:end w:w="80" w:type="dxa"/>
            </w:tcMar>
            <w:vAlign w:val="top"/>
          </w:tcPr>
          <w:p>
            <w:r>
              <w:rPr>
                <w:rFonts w:ascii="Arial" w:hAnsi="Arial" w:eastAsia="Arial"/>
                <w:sz w:val="15"/>
              </w:rPr>
              <w:t>Sécuriser les évolutions réglementaires et les parcours en ligne par une recette industrialisée et une non-régression robuste.</w:t>
            </w:r>
          </w:p>
        </w:tc>
        <w:tc>
          <w:tcPr>
            <w:tcW w:type="dxa" w:w="3400"/>
            <w:shd w:fill="FFFFFF"/>
            <w:tcMar>
              <w:top w:w="80" w:type="dxa"/>
              <w:start w:w="80" w:type="dxa"/>
              <w:bottom w:w="80" w:type="dxa"/>
              <w:end w:w="80" w:type="dxa"/>
            </w:tcMar>
            <w:vAlign w:val="top"/>
          </w:tcPr>
          <w:p>
            <w:r>
              <w:rPr>
                <w:rFonts w:ascii="Arial" w:hAnsi="Arial" w:eastAsia="Arial"/>
                <w:sz w:val="15"/>
              </w:rPr>
              <w:t>Test manager, QA automaticien, ingénieur intégration, expert recette fonctionnelle retraite, analyste anomalies.</w:t>
            </w:r>
          </w:p>
        </w:tc>
      </w:tr>
      <w:tr>
        <w:tc>
          <w:tcPr>
            <w:tcW w:type="dxa" w:w="2000"/>
            <w:shd w:fill="F3F4F6"/>
            <w:tcMar>
              <w:top w:w="80" w:type="dxa"/>
              <w:start w:w="80" w:type="dxa"/>
              <w:bottom w:w="80" w:type="dxa"/>
              <w:end w:w="80" w:type="dxa"/>
            </w:tcMar>
            <w:vAlign w:val="top"/>
          </w:tcPr>
          <w:p>
            <w:r>
              <w:rPr>
                <w:rFonts w:ascii="Arial" w:hAnsi="Arial" w:eastAsia="Arial"/>
                <w:b/>
                <w:color w:val="4B0F4F"/>
                <w:sz w:val="15"/>
              </w:rPr>
              <w:t>Data / IA maîtrisée</w:t>
            </w:r>
          </w:p>
        </w:tc>
        <w:tc>
          <w:tcPr>
            <w:tcW w:type="dxa" w:w="4300"/>
            <w:shd w:fill="F3F4F6"/>
            <w:tcMar>
              <w:top w:w="80" w:type="dxa"/>
              <w:start w:w="80" w:type="dxa"/>
              <w:bottom w:w="80" w:type="dxa"/>
              <w:end w:w="80" w:type="dxa"/>
            </w:tcMar>
            <w:vAlign w:val="top"/>
          </w:tcPr>
          <w:p>
            <w:r>
              <w:rPr>
                <w:rFonts w:ascii="Arial" w:hAnsi="Arial" w:eastAsia="Arial"/>
                <w:sz w:val="15"/>
              </w:rPr>
              <w:t>Contribuer aux premiers chantiers SMI2 : gouvernance data, cas d’usage IA, qualité et auditabilité, documentation, cadrage sécurité.</w:t>
            </w:r>
          </w:p>
        </w:tc>
        <w:tc>
          <w:tcPr>
            <w:tcW w:type="dxa" w:w="3400"/>
            <w:shd w:fill="F3F4F6"/>
            <w:tcMar>
              <w:top w:w="80" w:type="dxa"/>
              <w:start w:w="80" w:type="dxa"/>
              <w:bottom w:w="80" w:type="dxa"/>
              <w:end w:w="80" w:type="dxa"/>
            </w:tcMar>
            <w:vAlign w:val="top"/>
          </w:tcPr>
          <w:p>
            <w:r>
              <w:rPr>
                <w:rFonts w:ascii="Arial" w:hAnsi="Arial" w:eastAsia="Arial"/>
                <w:sz w:val="15"/>
              </w:rPr>
              <w:t>Data governance, data architect, PO data, consultant IA responsable, PMO innovation, analyste qualité données.</w:t>
            </w:r>
          </w:p>
        </w:tc>
      </w:tr>
      <w:tr>
        <w:tc>
          <w:tcPr>
            <w:tcW w:type="dxa" w:w="2000"/>
            <w:shd w:fill="FFFFFF"/>
            <w:tcMar>
              <w:top w:w="80" w:type="dxa"/>
              <w:start w:w="80" w:type="dxa"/>
              <w:bottom w:w="80" w:type="dxa"/>
              <w:end w:w="80" w:type="dxa"/>
            </w:tcMar>
            <w:vAlign w:val="top"/>
          </w:tcPr>
          <w:p>
            <w:r>
              <w:rPr>
                <w:rFonts w:ascii="Arial" w:hAnsi="Arial" w:eastAsia="Arial"/>
                <w:b/>
                <w:color w:val="4B0F4F"/>
                <w:sz w:val="15"/>
              </w:rPr>
              <w:t>Relation client / e-services</w:t>
            </w:r>
          </w:p>
        </w:tc>
        <w:tc>
          <w:tcPr>
            <w:tcW w:type="dxa" w:w="4300"/>
            <w:shd w:fill="FFFFFF"/>
            <w:tcMar>
              <w:top w:w="80" w:type="dxa"/>
              <w:start w:w="80" w:type="dxa"/>
              <w:bottom w:w="80" w:type="dxa"/>
              <w:end w:w="80" w:type="dxa"/>
            </w:tcMar>
            <w:vAlign w:val="top"/>
          </w:tcPr>
          <w:p>
            <w:r>
              <w:rPr>
                <w:rFonts w:ascii="Arial" w:hAnsi="Arial" w:eastAsia="Arial"/>
                <w:sz w:val="15"/>
              </w:rPr>
              <w:t>Optimiser les parcours assurés/entreprises, espace personnel, visio, webinaires, accessibilité, selfcare, ROSE et DSN-Fiab.</w:t>
            </w:r>
          </w:p>
        </w:tc>
        <w:tc>
          <w:tcPr>
            <w:tcW w:type="dxa" w:w="3400"/>
            <w:shd w:fill="FFFFFF"/>
            <w:tcMar>
              <w:top w:w="80" w:type="dxa"/>
              <w:start w:w="80" w:type="dxa"/>
              <w:bottom w:w="80" w:type="dxa"/>
              <w:end w:w="80" w:type="dxa"/>
            </w:tcMar>
            <w:vAlign w:val="top"/>
          </w:tcPr>
          <w:p>
            <w:r>
              <w:rPr>
                <w:rFonts w:ascii="Arial" w:hAnsi="Arial" w:eastAsia="Arial"/>
                <w:sz w:val="15"/>
              </w:rPr>
              <w:t>Product owner, UX researcher, business analyst, chef de projet digital, analyste parcours, expert accessibilité.</w:t>
            </w:r>
          </w:p>
        </w:tc>
      </w:tr>
      <w:tr>
        <w:tc>
          <w:tcPr>
            <w:tcW w:type="dxa" w:w="2000"/>
            <w:shd w:fill="F3F4F6"/>
            <w:tcMar>
              <w:top w:w="80" w:type="dxa"/>
              <w:start w:w="80" w:type="dxa"/>
              <w:bottom w:w="80" w:type="dxa"/>
              <w:end w:w="80" w:type="dxa"/>
            </w:tcMar>
            <w:vAlign w:val="top"/>
          </w:tcPr>
          <w:p>
            <w:r>
              <w:rPr>
                <w:rFonts w:ascii="Arial" w:hAnsi="Arial" w:eastAsia="Arial"/>
                <w:b/>
                <w:color w:val="4B0F4F"/>
                <w:sz w:val="15"/>
              </w:rPr>
              <w:t>Cybersécurité / antifraude</w:t>
            </w:r>
          </w:p>
        </w:tc>
        <w:tc>
          <w:tcPr>
            <w:tcW w:type="dxa" w:w="4300"/>
            <w:shd w:fill="F3F4F6"/>
            <w:tcMar>
              <w:top w:w="80" w:type="dxa"/>
              <w:start w:w="80" w:type="dxa"/>
              <w:bottom w:w="80" w:type="dxa"/>
              <w:end w:w="80" w:type="dxa"/>
            </w:tcMar>
            <w:vAlign w:val="top"/>
          </w:tcPr>
          <w:p>
            <w:r>
              <w:rPr>
                <w:rFonts w:ascii="Arial" w:hAnsi="Arial" w:eastAsia="Arial"/>
                <w:sz w:val="15"/>
              </w:rPr>
              <w:t>Répondre aux enjeux d’usurpation d’identité, protection des accès, sensibilisation, détection, sécurisation des parcours.</w:t>
            </w:r>
          </w:p>
        </w:tc>
        <w:tc>
          <w:tcPr>
            <w:tcW w:type="dxa" w:w="3400"/>
            <w:shd w:fill="F3F4F6"/>
            <w:tcMar>
              <w:top w:w="80" w:type="dxa"/>
              <w:start w:w="80" w:type="dxa"/>
              <w:bottom w:w="80" w:type="dxa"/>
              <w:end w:w="80" w:type="dxa"/>
            </w:tcMar>
            <w:vAlign w:val="top"/>
          </w:tcPr>
          <w:p>
            <w:r>
              <w:rPr>
                <w:rFonts w:ascii="Arial" w:hAnsi="Arial" w:eastAsia="Arial"/>
                <w:sz w:val="15"/>
              </w:rPr>
              <w:t>Consultant cyber, IAM, AppSec, SOC/détection, RSSI projet, expert sensibilisation, architecte sécurité.</w:t>
            </w:r>
          </w:p>
        </w:tc>
      </w:tr>
    </w:tbl>
    <w:p>
      <w:r>
        <w:rPr>
          <w:b/>
          <w:color w:val="4B0F4F"/>
          <w:sz w:val="24"/>
        </w:rPr>
        <w:t>Mini-pitch Tilencia à adapter</w:t>
      </w:r>
    </w:p>
    <w:tbl>
      <w:tblPr>
        <w:tblW w:type="auto" w:w="0"/>
        <w:jc w:val="center"/>
        <w:tblLook w:firstColumn="1" w:firstRow="1" w:lastColumn="0" w:lastRow="0" w:noHBand="0" w:noVBand="1" w:val="04A0"/>
      </w:tblPr>
      <w:tblGrid>
        <w:gridCol w:w="10426"/>
      </w:tblGrid>
      <w:tr>
        <w:tc>
          <w:tcPr>
            <w:tcW w:type="dxa" w:w="10426"/>
            <w:shd w:fill="F2E7F3"/>
            <w:tcBorders>
              <w:top w:sz="12" w:val="single" w:color="6C1D74"/>
              <w:left w:sz="12" w:val="single" w:color="6C1D74"/>
              <w:bottom w:sz="12" w:val="single" w:color="6C1D74"/>
              <w:right w:sz="12" w:val="single" w:color="6C1D74"/>
            </w:tcBorders>
            <w:tcMar>
              <w:top w:w="160" w:type="dxa"/>
              <w:start w:w="160" w:type="dxa"/>
              <w:bottom w:w="160" w:type="dxa"/>
              <w:end w:w="160" w:type="dxa"/>
            </w:tcMar>
            <w:vAlign w:val="top"/>
          </w:tcPr>
          <w:p>
            <w:r>
              <w:rPr>
                <w:rFonts w:ascii="Arial" w:hAnsi="Arial" w:eastAsia="Arial"/>
                <w:b/>
                <w:color w:val="4B0F4F"/>
                <w:sz w:val="22"/>
              </w:rPr>
              <w:t>Pitch court</w:t>
            </w:r>
          </w:p>
          <w:p>
            <w:r>
              <w:rPr>
                <w:rFonts w:ascii="Arial" w:hAnsi="Arial" w:eastAsia="Arial"/>
                <w:sz w:val="18"/>
              </w:rPr>
              <w:t>« Nous suivons attentivement la nouvelle séquence SI de l’Agirc-Arrco : finalisation du SI unifié, RéSIlience, puis SMI2 autour de la donnée, de l’IA maîtrisée et de la souveraineté. Notre intérêt n’est pas de pousser des profils génériques, mais de constituer un vivier ciblé sur vos enjeux : production critique, architecture souveraine, recette/intégration, data et cybersécurité. J’aimerais échanger 30 minutes pour comprendre où vous avez le plus besoin de sécurisation dans les prochains mois. »</w:t>
            </w:r>
          </w:p>
        </w:tc>
      </w:tr>
    </w:tbl>
    <w:p/>
    <w:p>
      <w:r>
        <w:rPr>
          <w:b/>
          <w:color w:val="4B0F4F"/>
          <w:sz w:val="24"/>
        </w:rPr>
        <w:t>Plan d’action commercial proposé</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600"/>
            <w:shd w:fill="F2673A"/>
            <w:tcMar>
              <w:top w:w="90" w:type="dxa"/>
              <w:start w:w="90" w:type="dxa"/>
              <w:bottom w:w="90" w:type="dxa"/>
              <w:end w:w="90" w:type="dxa"/>
            </w:tcMar>
            <w:vAlign w:val="top"/>
          </w:tcPr>
          <w:p>
            <w:pPr>
              <w:jc w:val="center"/>
            </w:pPr>
            <w:r>
              <w:rPr>
                <w:rFonts w:ascii="Arial" w:hAnsi="Arial" w:eastAsia="Arial"/>
                <w:b/>
                <w:color w:val="FFFFFF"/>
                <w:sz w:val="17"/>
              </w:rPr>
              <w:t>Période</w:t>
            </w:r>
          </w:p>
        </w:tc>
        <w:tc>
          <w:tcPr>
            <w:tcW w:type="dxa" w:w="4600"/>
            <w:shd w:fill="F2673A"/>
            <w:tcMar>
              <w:top w:w="90" w:type="dxa"/>
              <w:start w:w="90" w:type="dxa"/>
              <w:bottom w:w="90" w:type="dxa"/>
              <w:end w:w="90" w:type="dxa"/>
            </w:tcMar>
            <w:vAlign w:val="top"/>
          </w:tcPr>
          <w:p>
            <w:pPr>
              <w:jc w:val="center"/>
            </w:pPr>
            <w:r>
              <w:rPr>
                <w:rFonts w:ascii="Arial" w:hAnsi="Arial" w:eastAsia="Arial"/>
                <w:b/>
                <w:color w:val="FFFFFF"/>
                <w:sz w:val="17"/>
              </w:rPr>
              <w:t>Action</w:t>
            </w:r>
          </w:p>
        </w:tc>
        <w:tc>
          <w:tcPr>
            <w:tcW w:type="dxa" w:w="3400"/>
            <w:shd w:fill="F2673A"/>
            <w:tcMar>
              <w:top w:w="90" w:type="dxa"/>
              <w:start w:w="90" w:type="dxa"/>
              <w:bottom w:w="90" w:type="dxa"/>
              <w:end w:w="90" w:type="dxa"/>
            </w:tcMar>
            <w:vAlign w:val="top"/>
          </w:tcPr>
          <w:p>
            <w:pPr>
              <w:jc w:val="center"/>
            </w:pPr>
            <w:r>
              <w:rPr>
                <w:rFonts w:ascii="Arial" w:hAnsi="Arial" w:eastAsia="Arial"/>
                <w:b/>
                <w:color w:val="FFFFFF"/>
                <w:sz w:val="17"/>
              </w:rPr>
              <w:t>Livrable attendu</w:t>
            </w:r>
          </w:p>
        </w:tc>
      </w:tr>
      <w:tr>
        <w:tc>
          <w:tcPr>
            <w:tcW w:type="dxa" w:w="1600"/>
            <w:shd w:fill="FFFFFF"/>
            <w:tcMar>
              <w:top w:w="80" w:type="dxa"/>
              <w:start w:w="80" w:type="dxa"/>
              <w:bottom w:w="80" w:type="dxa"/>
              <w:end w:w="80" w:type="dxa"/>
            </w:tcMar>
            <w:vAlign w:val="top"/>
          </w:tcPr>
          <w:p>
            <w:r>
              <w:rPr>
                <w:rFonts w:ascii="Arial" w:hAnsi="Arial" w:eastAsia="Arial"/>
                <w:b/>
                <w:color w:val="4B0F4F"/>
                <w:sz w:val="17"/>
              </w:rPr>
              <w:t>Semaine 1</w:t>
            </w:r>
          </w:p>
        </w:tc>
        <w:tc>
          <w:tcPr>
            <w:tcW w:type="dxa" w:w="4600"/>
            <w:shd w:fill="FFFFFF"/>
            <w:tcMar>
              <w:top w:w="80" w:type="dxa"/>
              <w:start w:w="80" w:type="dxa"/>
              <w:bottom w:w="80" w:type="dxa"/>
              <w:end w:w="80" w:type="dxa"/>
            </w:tcMar>
            <w:vAlign w:val="top"/>
          </w:tcPr>
          <w:p>
            <w:r>
              <w:rPr>
                <w:rFonts w:ascii="Arial" w:hAnsi="Arial" w:eastAsia="Arial"/>
                <w:sz w:val="17"/>
              </w:rPr>
              <w:t>Mapper les interlocuteurs DSI-RC / DTI / DRCP / CNRI et prioriser 10 contacts.</w:t>
            </w:r>
          </w:p>
        </w:tc>
        <w:tc>
          <w:tcPr>
            <w:tcW w:type="dxa" w:w="3400"/>
            <w:shd w:fill="FFFFFF"/>
            <w:tcMar>
              <w:top w:w="80" w:type="dxa"/>
              <w:start w:w="80" w:type="dxa"/>
              <w:bottom w:w="80" w:type="dxa"/>
              <w:end w:w="80" w:type="dxa"/>
            </w:tcMar>
            <w:vAlign w:val="top"/>
          </w:tcPr>
          <w:p>
            <w:r>
              <w:rPr>
                <w:rFonts w:ascii="Arial" w:hAnsi="Arial" w:eastAsia="Arial"/>
                <w:sz w:val="17"/>
              </w:rPr>
              <w:t>Liste contacts enrichie + angle par personne.</w:t>
            </w:r>
          </w:p>
        </w:tc>
      </w:tr>
      <w:tr>
        <w:tc>
          <w:tcPr>
            <w:tcW w:type="dxa" w:w="1600"/>
            <w:shd w:fill="F3F4F6"/>
            <w:tcMar>
              <w:top w:w="80" w:type="dxa"/>
              <w:start w:w="80" w:type="dxa"/>
              <w:bottom w:w="80" w:type="dxa"/>
              <w:end w:w="80" w:type="dxa"/>
            </w:tcMar>
            <w:vAlign w:val="top"/>
          </w:tcPr>
          <w:p>
            <w:r>
              <w:rPr>
                <w:rFonts w:ascii="Arial" w:hAnsi="Arial" w:eastAsia="Arial"/>
                <w:b/>
                <w:color w:val="4B0F4F"/>
                <w:sz w:val="17"/>
              </w:rPr>
              <w:t>Semaine 2</w:t>
            </w:r>
          </w:p>
        </w:tc>
        <w:tc>
          <w:tcPr>
            <w:tcW w:type="dxa" w:w="4600"/>
            <w:shd w:fill="F3F4F6"/>
            <w:tcMar>
              <w:top w:w="80" w:type="dxa"/>
              <w:start w:w="80" w:type="dxa"/>
              <w:bottom w:w="80" w:type="dxa"/>
              <w:end w:w="80" w:type="dxa"/>
            </w:tcMar>
            <w:vAlign w:val="top"/>
          </w:tcPr>
          <w:p>
            <w:r>
              <w:rPr>
                <w:rFonts w:ascii="Arial" w:hAnsi="Arial" w:eastAsia="Arial"/>
                <w:sz w:val="17"/>
              </w:rPr>
              <w:t>Construire 4 messages dédiés : DTI souveraineté, DRCP production, CNRI recette, DSI-RC SMI2.</w:t>
            </w:r>
          </w:p>
        </w:tc>
        <w:tc>
          <w:tcPr>
            <w:tcW w:type="dxa" w:w="3400"/>
            <w:shd w:fill="F3F4F6"/>
            <w:tcMar>
              <w:top w:w="80" w:type="dxa"/>
              <w:start w:w="80" w:type="dxa"/>
              <w:bottom w:w="80" w:type="dxa"/>
              <w:end w:w="80" w:type="dxa"/>
            </w:tcMar>
            <w:vAlign w:val="top"/>
          </w:tcPr>
          <w:p>
            <w:r>
              <w:rPr>
                <w:rFonts w:ascii="Arial" w:hAnsi="Arial" w:eastAsia="Arial"/>
                <w:sz w:val="17"/>
              </w:rPr>
              <w:t>Séquences LinkedIn/email personnalisées.</w:t>
            </w:r>
          </w:p>
        </w:tc>
      </w:tr>
      <w:tr>
        <w:tc>
          <w:tcPr>
            <w:tcW w:type="dxa" w:w="1600"/>
            <w:shd w:fill="FFFFFF"/>
            <w:tcMar>
              <w:top w:w="80" w:type="dxa"/>
              <w:start w:w="80" w:type="dxa"/>
              <w:bottom w:w="80" w:type="dxa"/>
              <w:end w:w="80" w:type="dxa"/>
            </w:tcMar>
            <w:vAlign w:val="top"/>
          </w:tcPr>
          <w:p>
            <w:r>
              <w:rPr>
                <w:rFonts w:ascii="Arial" w:hAnsi="Arial" w:eastAsia="Arial"/>
                <w:b/>
                <w:color w:val="4B0F4F"/>
                <w:sz w:val="17"/>
              </w:rPr>
              <w:t>Semaine 3</w:t>
            </w:r>
          </w:p>
        </w:tc>
        <w:tc>
          <w:tcPr>
            <w:tcW w:type="dxa" w:w="4600"/>
            <w:shd w:fill="FFFFFF"/>
            <w:tcMar>
              <w:top w:w="80" w:type="dxa"/>
              <w:start w:w="80" w:type="dxa"/>
              <w:bottom w:w="80" w:type="dxa"/>
              <w:end w:w="80" w:type="dxa"/>
            </w:tcMar>
            <w:vAlign w:val="top"/>
          </w:tcPr>
          <w:p>
            <w:r>
              <w:rPr>
                <w:rFonts w:ascii="Arial" w:hAnsi="Arial" w:eastAsia="Arial"/>
                <w:sz w:val="17"/>
              </w:rPr>
              <w:t>Préqualifier un mini-vivier de 8 à 12 profils sur les axes critiques.</w:t>
            </w:r>
          </w:p>
        </w:tc>
        <w:tc>
          <w:tcPr>
            <w:tcW w:type="dxa" w:w="3400"/>
            <w:shd w:fill="FFFFFF"/>
            <w:tcMar>
              <w:top w:w="80" w:type="dxa"/>
              <w:start w:w="80" w:type="dxa"/>
              <w:bottom w:w="80" w:type="dxa"/>
              <w:end w:w="80" w:type="dxa"/>
            </w:tcMar>
            <w:vAlign w:val="top"/>
          </w:tcPr>
          <w:p>
            <w:r>
              <w:rPr>
                <w:rFonts w:ascii="Arial" w:hAnsi="Arial" w:eastAsia="Arial"/>
                <w:sz w:val="17"/>
              </w:rPr>
              <w:t>CV ciblés par axe, non génériques.</w:t>
            </w:r>
          </w:p>
        </w:tc>
      </w:tr>
      <w:tr>
        <w:tc>
          <w:tcPr>
            <w:tcW w:type="dxa" w:w="1600"/>
            <w:shd w:fill="F3F4F6"/>
            <w:tcMar>
              <w:top w:w="80" w:type="dxa"/>
              <w:start w:w="80" w:type="dxa"/>
              <w:bottom w:w="80" w:type="dxa"/>
              <w:end w:w="80" w:type="dxa"/>
            </w:tcMar>
            <w:vAlign w:val="top"/>
          </w:tcPr>
          <w:p>
            <w:r>
              <w:rPr>
                <w:rFonts w:ascii="Arial" w:hAnsi="Arial" w:eastAsia="Arial"/>
                <w:b/>
                <w:color w:val="4B0F4F"/>
                <w:sz w:val="17"/>
              </w:rPr>
              <w:t>Semaine 4</w:t>
            </w:r>
          </w:p>
        </w:tc>
        <w:tc>
          <w:tcPr>
            <w:tcW w:type="dxa" w:w="4600"/>
            <w:shd w:fill="F3F4F6"/>
            <w:tcMar>
              <w:top w:w="80" w:type="dxa"/>
              <w:start w:w="80" w:type="dxa"/>
              <w:bottom w:w="80" w:type="dxa"/>
              <w:end w:w="80" w:type="dxa"/>
            </w:tcMar>
            <w:vAlign w:val="top"/>
          </w:tcPr>
          <w:p>
            <w:r>
              <w:rPr>
                <w:rFonts w:ascii="Arial" w:hAnsi="Arial" w:eastAsia="Arial"/>
                <w:sz w:val="17"/>
              </w:rPr>
              <w:t>Proposer un échange de cadrage ou un atelier de 30 min sur les besoins 2026-2027.</w:t>
            </w:r>
          </w:p>
        </w:tc>
        <w:tc>
          <w:tcPr>
            <w:tcW w:type="dxa" w:w="3400"/>
            <w:shd w:fill="F3F4F6"/>
            <w:tcMar>
              <w:top w:w="80" w:type="dxa"/>
              <w:start w:w="80" w:type="dxa"/>
              <w:bottom w:w="80" w:type="dxa"/>
              <w:end w:w="80" w:type="dxa"/>
            </w:tcMar>
            <w:vAlign w:val="top"/>
          </w:tcPr>
          <w:p>
            <w:r>
              <w:rPr>
                <w:rFonts w:ascii="Arial" w:hAnsi="Arial" w:eastAsia="Arial"/>
                <w:sz w:val="17"/>
              </w:rPr>
              <w:t>Compte rendu, besoins, prochaine action.</w:t>
            </w:r>
          </w:p>
        </w:tc>
      </w:tr>
    </w:tbl>
    <w:p>
      <w:r>
        <w:br w:type="page"/>
      </w:r>
    </w:p>
    <w:p>
      <w:pPr>
        <w:jc w:val="left"/>
      </w:pPr>
      <w:r>
        <w:rPr>
          <w:b/>
          <w:color w:val="6C1D74"/>
          <w:sz w:val="36"/>
        </w:rPr>
        <w:t>8. Annexes : points de vigilance, sources et fiabilité</w:t>
      </w:r>
    </w:p>
    <w:tbl>
      <w:tblPr>
        <w:tblW w:type="auto" w:w="0"/>
        <w:jc w:val="center"/>
        <w:tblLook w:firstColumn="1" w:firstRow="1" w:lastColumn="0" w:lastRow="0" w:noHBand="0" w:noVBand="1" w:val="04A0"/>
      </w:tblPr>
      <w:tblGrid>
        <w:gridCol w:w="10426"/>
      </w:tblGrid>
      <w:tr>
        <w:tc>
          <w:tcPr>
            <w:tcW w:type="dxa" w:w="10426"/>
            <w:shd w:fill="FDECE5"/>
            <w:tcBorders>
              <w:top w:sz="12" w:val="single" w:color="F2673A"/>
              <w:left w:sz="12" w:val="single" w:color="F2673A"/>
              <w:bottom w:sz="12" w:val="single" w:color="F2673A"/>
              <w:right w:sz="12" w:val="single" w:color="F2673A"/>
            </w:tcBorders>
            <w:tcMar>
              <w:top w:w="160" w:type="dxa"/>
              <w:start w:w="160" w:type="dxa"/>
              <w:bottom w:w="160" w:type="dxa"/>
              <w:end w:w="160" w:type="dxa"/>
            </w:tcMar>
            <w:vAlign w:val="top"/>
          </w:tcPr>
          <w:p>
            <w:r>
              <w:rPr>
                <w:rFonts w:ascii="Arial" w:hAnsi="Arial" w:eastAsia="Arial"/>
                <w:b/>
                <w:color w:val="4B0F4F"/>
                <w:sz w:val="22"/>
              </w:rPr>
              <w:t>Point de vigilance</w:t>
            </w:r>
          </w:p>
          <w:p>
            <w:r>
              <w:rPr>
                <w:rFonts w:ascii="Arial" w:hAnsi="Arial" w:eastAsia="Arial"/>
                <w:sz w:val="18"/>
              </w:rPr>
              <w:t>Les informations 2027 détaillées ne sont pas encore publiées sous forme de feuille de route officielle. Les éléments 2027 de ce document sont donc construits à partir des programmes déjà annoncés publiquement : fin du COM 2023-2026, RéSIlience, SMI2, souveraineté, data, IA et poursuite de l’amélioration du service.</w:t>
            </w:r>
          </w:p>
        </w:tc>
      </w:tr>
    </w:tbl>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2400"/>
            <w:shd w:fill="6C1D74"/>
            <w:tcMar>
              <w:top w:w="90" w:type="dxa"/>
              <w:start w:w="90" w:type="dxa"/>
              <w:bottom w:w="90" w:type="dxa"/>
              <w:end w:w="90" w:type="dxa"/>
            </w:tcMar>
            <w:vAlign w:val="top"/>
          </w:tcPr>
          <w:p>
            <w:pPr>
              <w:jc w:val="center"/>
            </w:pPr>
            <w:r>
              <w:rPr>
                <w:rFonts w:ascii="Arial" w:hAnsi="Arial" w:eastAsia="Arial"/>
                <w:b/>
                <w:color w:val="FFFFFF"/>
                <w:sz w:val="17"/>
              </w:rPr>
              <w:t>Niveau</w:t>
            </w:r>
          </w:p>
        </w:tc>
        <w:tc>
          <w:tcPr>
            <w:tcW w:type="dxa" w:w="6800"/>
            <w:shd w:fill="6C1D74"/>
            <w:tcMar>
              <w:top w:w="90" w:type="dxa"/>
              <w:start w:w="90" w:type="dxa"/>
              <w:bottom w:w="90" w:type="dxa"/>
              <w:end w:w="90" w:type="dxa"/>
            </w:tcMar>
            <w:vAlign w:val="top"/>
          </w:tcPr>
          <w:p>
            <w:pPr>
              <w:jc w:val="center"/>
            </w:pPr>
            <w:r>
              <w:rPr>
                <w:rFonts w:ascii="Arial" w:hAnsi="Arial" w:eastAsia="Arial"/>
                <w:b/>
                <w:color w:val="FFFFFF"/>
                <w:sz w:val="17"/>
              </w:rPr>
              <w:t>Lecture</w:t>
            </w:r>
          </w:p>
        </w:tc>
      </w:tr>
      <w:tr>
        <w:tc>
          <w:tcPr>
            <w:tcW w:type="dxa" w:w="2400"/>
            <w:shd w:fill="FFFFFF"/>
            <w:tcMar>
              <w:top w:w="80" w:type="dxa"/>
              <w:start w:w="80" w:type="dxa"/>
              <w:bottom w:w="80" w:type="dxa"/>
              <w:end w:w="80" w:type="dxa"/>
            </w:tcMar>
            <w:vAlign w:val="top"/>
          </w:tcPr>
          <w:p>
            <w:r>
              <w:rPr>
                <w:rFonts w:ascii="Arial" w:hAnsi="Arial" w:eastAsia="Arial"/>
                <w:b/>
                <w:color w:val="4B0F4F"/>
                <w:sz w:val="17"/>
              </w:rPr>
              <w:t>Confirmé publiquement</w:t>
            </w:r>
          </w:p>
        </w:tc>
        <w:tc>
          <w:tcPr>
            <w:tcW w:type="dxa" w:w="6800"/>
            <w:shd w:fill="FFFFFF"/>
            <w:tcMar>
              <w:top w:w="80" w:type="dxa"/>
              <w:start w:w="80" w:type="dxa"/>
              <w:bottom w:w="80" w:type="dxa"/>
              <w:end w:w="80" w:type="dxa"/>
            </w:tcMar>
            <w:vAlign w:val="top"/>
          </w:tcPr>
          <w:p>
            <w:r>
              <w:rPr>
                <w:rFonts w:ascii="Arial" w:hAnsi="Arial" w:eastAsia="Arial"/>
                <w:sz w:val="17"/>
              </w:rPr>
              <w:t>SI unifié finalisé en 2025, système central de paiement, RéSIlience, SMI2, souveraineté, data, IA maîtrisée, performance SI-RC 99,93 %, COM 2023-2026.</w:t>
            </w:r>
          </w:p>
        </w:tc>
      </w:tr>
      <w:tr>
        <w:tc>
          <w:tcPr>
            <w:tcW w:type="dxa" w:w="2400"/>
            <w:shd w:fill="F3F4F6"/>
            <w:tcMar>
              <w:top w:w="80" w:type="dxa"/>
              <w:start w:w="80" w:type="dxa"/>
              <w:bottom w:w="80" w:type="dxa"/>
              <w:end w:w="80" w:type="dxa"/>
            </w:tcMar>
            <w:vAlign w:val="top"/>
          </w:tcPr>
          <w:p>
            <w:r>
              <w:rPr>
                <w:rFonts w:ascii="Arial" w:hAnsi="Arial" w:eastAsia="Arial"/>
                <w:b/>
                <w:color w:val="4B0F4F"/>
                <w:sz w:val="17"/>
              </w:rPr>
              <w:t>Très probable / à confirmer en rendez-vous</w:t>
            </w:r>
          </w:p>
        </w:tc>
        <w:tc>
          <w:tcPr>
            <w:tcW w:type="dxa" w:w="6800"/>
            <w:shd w:fill="F3F4F6"/>
            <w:tcMar>
              <w:top w:w="80" w:type="dxa"/>
              <w:start w:w="80" w:type="dxa"/>
              <w:bottom w:w="80" w:type="dxa"/>
              <w:end w:w="80" w:type="dxa"/>
            </w:tcMar>
            <w:vAlign w:val="top"/>
          </w:tcPr>
          <w:p>
            <w:r>
              <w:rPr>
                <w:rFonts w:ascii="Arial" w:hAnsi="Arial" w:eastAsia="Arial"/>
                <w:sz w:val="17"/>
              </w:rPr>
              <w:t>Priorités opérationnelles 2027 : déclinaison du programme SMI2, nouvelle feuille de route post-COM, besoins compétences, arbitrages sourcing, périmètre exact de chaque entité.</w:t>
            </w:r>
          </w:p>
        </w:tc>
      </w:tr>
      <w:tr>
        <w:tc>
          <w:tcPr>
            <w:tcW w:type="dxa" w:w="2400"/>
            <w:shd w:fill="FFFFFF"/>
            <w:tcMar>
              <w:top w:w="80" w:type="dxa"/>
              <w:start w:w="80" w:type="dxa"/>
              <w:bottom w:w="80" w:type="dxa"/>
              <w:end w:w="80" w:type="dxa"/>
            </w:tcMar>
            <w:vAlign w:val="top"/>
          </w:tcPr>
          <w:p>
            <w:r>
              <w:rPr>
                <w:rFonts w:ascii="Arial" w:hAnsi="Arial" w:eastAsia="Arial"/>
                <w:b/>
                <w:color w:val="4B0F4F"/>
                <w:sz w:val="17"/>
              </w:rPr>
              <w:t>À éviter</w:t>
            </w:r>
          </w:p>
        </w:tc>
        <w:tc>
          <w:tcPr>
            <w:tcW w:type="dxa" w:w="6800"/>
            <w:shd w:fill="FFFFFF"/>
            <w:tcMar>
              <w:top w:w="80" w:type="dxa"/>
              <w:start w:w="80" w:type="dxa"/>
              <w:bottom w:w="80" w:type="dxa"/>
              <w:end w:w="80" w:type="dxa"/>
            </w:tcMar>
            <w:vAlign w:val="top"/>
          </w:tcPr>
          <w:p>
            <w:r>
              <w:rPr>
                <w:rFonts w:ascii="Arial" w:hAnsi="Arial" w:eastAsia="Arial"/>
                <w:sz w:val="17"/>
              </w:rPr>
              <w:t>Affirmer connaître une feuille de route 2027 détaillée ou des budgets non publiés. Présenter les noms d’interlocuteurs internes comme un organigramme officiel sans confirmation directe.</w:t>
            </w:r>
          </w:p>
        </w:tc>
      </w:tr>
    </w:tbl>
    <w:p>
      <w:r>
        <w:rPr>
          <w:b/>
          <w:color w:val="4B0F4F"/>
          <w:sz w:val="24"/>
        </w:rPr>
        <w:t>Sources publiques utilisées</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800"/>
            <w:shd w:fill="6C1D74"/>
            <w:tcMar>
              <w:top w:w="90" w:type="dxa"/>
              <w:start w:w="90" w:type="dxa"/>
              <w:bottom w:w="90" w:type="dxa"/>
              <w:end w:w="90" w:type="dxa"/>
            </w:tcMar>
            <w:vAlign w:val="top"/>
          </w:tcPr>
          <w:p>
            <w:pPr>
              <w:jc w:val="center"/>
            </w:pPr>
            <w:r>
              <w:rPr>
                <w:rFonts w:ascii="Arial" w:hAnsi="Arial" w:eastAsia="Arial"/>
                <w:b/>
                <w:color w:val="FFFFFF"/>
                <w:sz w:val="17"/>
              </w:rPr>
              <w:t>Réf.</w:t>
            </w:r>
          </w:p>
        </w:tc>
        <w:tc>
          <w:tcPr>
            <w:tcW w:type="dxa" w:w="5600"/>
            <w:shd w:fill="6C1D74"/>
            <w:tcMar>
              <w:top w:w="90" w:type="dxa"/>
              <w:start w:w="90" w:type="dxa"/>
              <w:bottom w:w="90" w:type="dxa"/>
              <w:end w:w="90" w:type="dxa"/>
            </w:tcMar>
            <w:vAlign w:val="top"/>
          </w:tcPr>
          <w:p>
            <w:pPr>
              <w:jc w:val="center"/>
            </w:pPr>
            <w:r>
              <w:rPr>
                <w:rFonts w:ascii="Arial" w:hAnsi="Arial" w:eastAsia="Arial"/>
                <w:b/>
                <w:color w:val="FFFFFF"/>
                <w:sz w:val="17"/>
              </w:rPr>
              <w:t>Source</w:t>
            </w:r>
          </w:p>
        </w:tc>
        <w:tc>
          <w:tcPr>
            <w:tcW w:type="dxa" w:w="3600"/>
            <w:shd w:fill="6C1D74"/>
            <w:tcMar>
              <w:top w:w="90" w:type="dxa"/>
              <w:start w:w="90" w:type="dxa"/>
              <w:bottom w:w="90" w:type="dxa"/>
              <w:end w:w="90" w:type="dxa"/>
            </w:tcMar>
            <w:vAlign w:val="top"/>
          </w:tcPr>
          <w:p>
            <w:pPr>
              <w:jc w:val="center"/>
            </w:pPr>
            <w:r>
              <w:rPr>
                <w:rFonts w:ascii="Arial" w:hAnsi="Arial" w:eastAsia="Arial"/>
                <w:b/>
                <w:color w:val="FFFFFF"/>
                <w:sz w:val="17"/>
              </w:rPr>
              <w:t>Lien</w:t>
            </w:r>
          </w:p>
        </w:tc>
      </w:tr>
      <w:tr>
        <w:tc>
          <w:tcPr>
            <w:tcW w:type="dxa" w:w="800"/>
            <w:shd w:fill="FFFFFF"/>
            <w:tcMar>
              <w:top w:w="80" w:type="dxa"/>
              <w:start w:w="80" w:type="dxa"/>
              <w:bottom w:w="80" w:type="dxa"/>
              <w:end w:w="80" w:type="dxa"/>
            </w:tcMar>
            <w:vAlign w:val="top"/>
          </w:tcPr>
          <w:p>
            <w:r>
              <w:rPr>
                <w:rFonts w:ascii="Arial" w:hAnsi="Arial" w:eastAsia="Arial"/>
                <w:b/>
                <w:color w:val="4B0F4F"/>
                <w:sz w:val="14"/>
              </w:rPr>
              <w:t>S1</w:t>
            </w:r>
          </w:p>
        </w:tc>
        <w:tc>
          <w:tcPr>
            <w:tcW w:type="dxa" w:w="5600"/>
            <w:shd w:fill="FFFFFF"/>
            <w:tcMar>
              <w:top w:w="80" w:type="dxa"/>
              <w:start w:w="80" w:type="dxa"/>
              <w:bottom w:w="80" w:type="dxa"/>
              <w:end w:w="80" w:type="dxa"/>
            </w:tcMar>
            <w:vAlign w:val="top"/>
          </w:tcPr>
          <w:p>
            <w:r>
              <w:rPr>
                <w:rFonts w:ascii="Arial" w:hAnsi="Arial" w:eastAsia="Arial"/>
                <w:sz w:val="14"/>
              </w:rPr>
              <w:t>Rapport d’activité Agirc-Arrco 2025, version digitale, pages « La promesse tenue d’un système d’information unifié », « Inter-régimes », « COM », « Résultats ».</w:t>
            </w:r>
          </w:p>
        </w:tc>
        <w:tc>
          <w:tcPr>
            <w:tcW w:type="dxa" w:w="3600"/>
            <w:shd w:fill="FFFFFF"/>
            <w:tcMar>
              <w:top w:w="80" w:type="dxa"/>
              <w:start w:w="80" w:type="dxa"/>
              <w:bottom w:w="80" w:type="dxa"/>
              <w:end w:w="80" w:type="dxa"/>
            </w:tcMar>
            <w:vAlign w:val="top"/>
          </w:tcPr>
          <w:p>
            <w:r>
              <w:rPr>
                <w:rFonts w:ascii="Arial" w:hAnsi="Arial" w:eastAsia="Arial"/>
                <w:sz w:val="14"/>
              </w:rPr>
              <w:t>https://secure.webpublication.fr/463113/2644106/</w:t>
            </w:r>
          </w:p>
        </w:tc>
      </w:tr>
      <w:tr>
        <w:tc>
          <w:tcPr>
            <w:tcW w:type="dxa" w:w="800"/>
            <w:shd w:fill="F3F4F6"/>
            <w:tcMar>
              <w:top w:w="80" w:type="dxa"/>
              <w:start w:w="80" w:type="dxa"/>
              <w:bottom w:w="80" w:type="dxa"/>
              <w:end w:w="80" w:type="dxa"/>
            </w:tcMar>
            <w:vAlign w:val="top"/>
          </w:tcPr>
          <w:p>
            <w:r>
              <w:rPr>
                <w:rFonts w:ascii="Arial" w:hAnsi="Arial" w:eastAsia="Arial"/>
                <w:b/>
                <w:color w:val="4B0F4F"/>
                <w:sz w:val="14"/>
              </w:rPr>
              <w:t>S2</w:t>
            </w:r>
          </w:p>
        </w:tc>
        <w:tc>
          <w:tcPr>
            <w:tcW w:type="dxa" w:w="5600"/>
            <w:shd w:fill="F3F4F6"/>
            <w:tcMar>
              <w:top w:w="80" w:type="dxa"/>
              <w:start w:w="80" w:type="dxa"/>
              <w:bottom w:w="80" w:type="dxa"/>
              <w:end w:w="80" w:type="dxa"/>
            </w:tcMar>
            <w:vAlign w:val="top"/>
          </w:tcPr>
          <w:p>
            <w:r>
              <w:rPr>
                <w:rFonts w:ascii="Arial" w:hAnsi="Arial" w:eastAsia="Arial"/>
                <w:sz w:val="14"/>
              </w:rPr>
              <w:t>Page officielle Agirc-Arrco « Connaître la DSI », consultée le 02/07/2026.</w:t>
            </w:r>
          </w:p>
        </w:tc>
        <w:tc>
          <w:tcPr>
            <w:tcW w:type="dxa" w:w="3600"/>
            <w:shd w:fill="F3F4F6"/>
            <w:tcMar>
              <w:top w:w="80" w:type="dxa"/>
              <w:start w:w="80" w:type="dxa"/>
              <w:bottom w:w="80" w:type="dxa"/>
              <w:end w:w="80" w:type="dxa"/>
            </w:tcMar>
            <w:vAlign w:val="top"/>
          </w:tcPr>
          <w:p>
            <w:r>
              <w:rPr>
                <w:rFonts w:ascii="Arial" w:hAnsi="Arial" w:eastAsia="Arial"/>
                <w:sz w:val="14"/>
              </w:rPr>
              <w:t>https://www.agirc-arrco.fr/nous-connaitre/nous-rejoindre/connaitre-la-dsi/</w:t>
            </w:r>
          </w:p>
        </w:tc>
      </w:tr>
      <w:tr>
        <w:tc>
          <w:tcPr>
            <w:tcW w:type="dxa" w:w="800"/>
            <w:shd w:fill="FFFFFF"/>
            <w:tcMar>
              <w:top w:w="80" w:type="dxa"/>
              <w:start w:w="80" w:type="dxa"/>
              <w:bottom w:w="80" w:type="dxa"/>
              <w:end w:w="80" w:type="dxa"/>
            </w:tcMar>
            <w:vAlign w:val="top"/>
          </w:tcPr>
          <w:p>
            <w:r>
              <w:rPr>
                <w:rFonts w:ascii="Arial" w:hAnsi="Arial" w:eastAsia="Arial"/>
                <w:b/>
                <w:color w:val="4B0F4F"/>
                <w:sz w:val="14"/>
              </w:rPr>
              <w:t>S3</w:t>
            </w:r>
          </w:p>
        </w:tc>
        <w:tc>
          <w:tcPr>
            <w:tcW w:type="dxa" w:w="5600"/>
            <w:shd w:fill="FFFFFF"/>
            <w:tcMar>
              <w:top w:w="80" w:type="dxa"/>
              <w:start w:w="80" w:type="dxa"/>
              <w:bottom w:w="80" w:type="dxa"/>
              <w:end w:w="80" w:type="dxa"/>
            </w:tcMar>
            <w:vAlign w:val="top"/>
          </w:tcPr>
          <w:p>
            <w:r>
              <w:rPr>
                <w:rFonts w:ascii="Arial" w:hAnsi="Arial" w:eastAsia="Arial"/>
                <w:sz w:val="14"/>
              </w:rPr>
              <w:t>Communiqué de presse Agirc-Arrco, « Le régime Agirc-Arrco à l’équilibre », 31/03/2026.</w:t>
            </w:r>
          </w:p>
        </w:tc>
        <w:tc>
          <w:tcPr>
            <w:tcW w:type="dxa" w:w="3600"/>
            <w:shd w:fill="FFFFFF"/>
            <w:tcMar>
              <w:top w:w="80" w:type="dxa"/>
              <w:start w:w="80" w:type="dxa"/>
              <w:bottom w:w="80" w:type="dxa"/>
              <w:end w:w="80" w:type="dxa"/>
            </w:tcMar>
            <w:vAlign w:val="top"/>
          </w:tcPr>
          <w:p>
            <w:r>
              <w:rPr>
                <w:rFonts w:ascii="Arial" w:hAnsi="Arial" w:eastAsia="Arial"/>
                <w:sz w:val="14"/>
              </w:rPr>
              <w:t>https://www.agirc-arrco.fr/storage/20260331_CP_Resultats-Agirc-Arrco-2025.pdf</w:t>
            </w:r>
          </w:p>
        </w:tc>
      </w:tr>
      <w:tr>
        <w:tc>
          <w:tcPr>
            <w:tcW w:type="dxa" w:w="800"/>
            <w:shd w:fill="F3F4F6"/>
            <w:tcMar>
              <w:top w:w="80" w:type="dxa"/>
              <w:start w:w="80" w:type="dxa"/>
              <w:bottom w:w="80" w:type="dxa"/>
              <w:end w:w="80" w:type="dxa"/>
            </w:tcMar>
            <w:vAlign w:val="top"/>
          </w:tcPr>
          <w:p>
            <w:r>
              <w:rPr>
                <w:rFonts w:ascii="Arial" w:hAnsi="Arial" w:eastAsia="Arial"/>
                <w:b/>
                <w:color w:val="4B0F4F"/>
                <w:sz w:val="14"/>
              </w:rPr>
              <w:t>S4</w:t>
            </w:r>
          </w:p>
        </w:tc>
        <w:tc>
          <w:tcPr>
            <w:tcW w:type="dxa" w:w="5600"/>
            <w:shd w:fill="F3F4F6"/>
            <w:tcMar>
              <w:top w:w="80" w:type="dxa"/>
              <w:start w:w="80" w:type="dxa"/>
              <w:bottom w:w="80" w:type="dxa"/>
              <w:end w:w="80" w:type="dxa"/>
            </w:tcMar>
            <w:vAlign w:val="top"/>
          </w:tcPr>
          <w:p>
            <w:r>
              <w:rPr>
                <w:rFonts w:ascii="Arial" w:hAnsi="Arial" w:eastAsia="Arial"/>
                <w:sz w:val="14"/>
              </w:rPr>
              <w:t>Communiqué de presse Agirc-Arrco, « Rencontres retraite du 15 au 20 juin 2026 », 29/05/2026.</w:t>
            </w:r>
          </w:p>
        </w:tc>
        <w:tc>
          <w:tcPr>
            <w:tcW w:type="dxa" w:w="3600"/>
            <w:shd w:fill="F3F4F6"/>
            <w:tcMar>
              <w:top w:w="80" w:type="dxa"/>
              <w:start w:w="80" w:type="dxa"/>
              <w:bottom w:w="80" w:type="dxa"/>
              <w:end w:w="80" w:type="dxa"/>
            </w:tcMar>
            <w:vAlign w:val="top"/>
          </w:tcPr>
          <w:p>
            <w:r>
              <w:rPr>
                <w:rFonts w:ascii="Arial" w:hAnsi="Arial" w:eastAsia="Arial"/>
                <w:sz w:val="14"/>
              </w:rPr>
              <w:t>https://www.agirc-arrco.fr/storage/CP_Rencontres-retraite_juin-2026.pdf</w:t>
            </w:r>
          </w:p>
        </w:tc>
      </w:tr>
      <w:tr>
        <w:tc>
          <w:tcPr>
            <w:tcW w:type="dxa" w:w="800"/>
            <w:shd w:fill="FFFFFF"/>
            <w:tcMar>
              <w:top w:w="80" w:type="dxa"/>
              <w:start w:w="80" w:type="dxa"/>
              <w:bottom w:w="80" w:type="dxa"/>
              <w:end w:w="80" w:type="dxa"/>
            </w:tcMar>
            <w:vAlign w:val="top"/>
          </w:tcPr>
          <w:p>
            <w:r>
              <w:rPr>
                <w:rFonts w:ascii="Arial" w:hAnsi="Arial" w:eastAsia="Arial"/>
                <w:b/>
                <w:color w:val="4B0F4F"/>
                <w:sz w:val="14"/>
              </w:rPr>
              <w:t>S5</w:t>
            </w:r>
          </w:p>
        </w:tc>
        <w:tc>
          <w:tcPr>
            <w:tcW w:type="dxa" w:w="5600"/>
            <w:shd w:fill="FFFFFF"/>
            <w:tcMar>
              <w:top w:w="80" w:type="dxa"/>
              <w:start w:w="80" w:type="dxa"/>
              <w:bottom w:w="80" w:type="dxa"/>
              <w:end w:w="80" w:type="dxa"/>
            </w:tcMar>
            <w:vAlign w:val="top"/>
          </w:tcPr>
          <w:p>
            <w:r>
              <w:rPr>
                <w:rFonts w:ascii="Arial" w:hAnsi="Arial" w:eastAsia="Arial"/>
                <w:sz w:val="14"/>
              </w:rPr>
              <w:t>Circulaire Agirc-Arrco 2026-1-SG-DRJ, « Retraite progressive 2026 », 16/01/2026.</w:t>
            </w:r>
          </w:p>
        </w:tc>
        <w:tc>
          <w:tcPr>
            <w:tcW w:type="dxa" w:w="3600"/>
            <w:shd w:fill="FFFFFF"/>
            <w:tcMar>
              <w:top w:w="80" w:type="dxa"/>
              <w:start w:w="80" w:type="dxa"/>
              <w:bottom w:w="80" w:type="dxa"/>
              <w:end w:w="80" w:type="dxa"/>
            </w:tcMar>
            <w:vAlign w:val="top"/>
          </w:tcPr>
          <w:p>
            <w:r>
              <w:rPr>
                <w:rFonts w:ascii="Arial" w:hAnsi="Arial" w:eastAsia="Arial"/>
                <w:sz w:val="14"/>
              </w:rPr>
              <w:t>https://www.agirc-arrco.fr/storage/CirculaireAgircArrco2026-1sg-drj.pdf</w:t>
            </w:r>
          </w:p>
        </w:tc>
      </w:tr>
      <w:tr>
        <w:tc>
          <w:tcPr>
            <w:tcW w:type="dxa" w:w="800"/>
            <w:shd w:fill="F3F4F6"/>
            <w:tcMar>
              <w:top w:w="80" w:type="dxa"/>
              <w:start w:w="80" w:type="dxa"/>
              <w:bottom w:w="80" w:type="dxa"/>
              <w:end w:w="80" w:type="dxa"/>
            </w:tcMar>
            <w:vAlign w:val="top"/>
          </w:tcPr>
          <w:p>
            <w:r>
              <w:rPr>
                <w:rFonts w:ascii="Arial" w:hAnsi="Arial" w:eastAsia="Arial"/>
                <w:b/>
                <w:color w:val="4B0F4F"/>
                <w:sz w:val="14"/>
              </w:rPr>
              <w:t>S6</w:t>
            </w:r>
          </w:p>
        </w:tc>
        <w:tc>
          <w:tcPr>
            <w:tcW w:type="dxa" w:w="5600"/>
            <w:shd w:fill="F3F4F6"/>
            <w:tcMar>
              <w:top w:w="80" w:type="dxa"/>
              <w:start w:w="80" w:type="dxa"/>
              <w:bottom w:w="80" w:type="dxa"/>
              <w:end w:w="80" w:type="dxa"/>
            </w:tcMar>
            <w:vAlign w:val="top"/>
          </w:tcPr>
          <w:p>
            <w:r>
              <w:rPr>
                <w:rFonts w:ascii="Arial" w:hAnsi="Arial" w:eastAsia="Arial"/>
                <w:sz w:val="14"/>
              </w:rPr>
              <w:t>Actualité Agirc-Arrco, « Messages frauduleux : restons vigilants », publiée le 01/06/2026.</w:t>
            </w:r>
          </w:p>
        </w:tc>
        <w:tc>
          <w:tcPr>
            <w:tcW w:type="dxa" w:w="3600"/>
            <w:shd w:fill="F3F4F6"/>
            <w:tcMar>
              <w:top w:w="80" w:type="dxa"/>
              <w:start w:w="80" w:type="dxa"/>
              <w:bottom w:w="80" w:type="dxa"/>
              <w:end w:w="80" w:type="dxa"/>
            </w:tcMar>
            <w:vAlign w:val="top"/>
          </w:tcPr>
          <w:p>
            <w:r>
              <w:rPr>
                <w:rFonts w:ascii="Arial" w:hAnsi="Arial" w:eastAsia="Arial"/>
                <w:sz w:val="14"/>
              </w:rPr>
              <w:t>https://www.agirc-arrco.fr/nous-connaitre/nos-actualites/messages-frauduleux-restons-vigilants/</w:t>
            </w:r>
          </w:p>
        </w:tc>
      </w:tr>
      <w:tr>
        <w:tc>
          <w:tcPr>
            <w:tcW w:type="dxa" w:w="800"/>
            <w:shd w:fill="FFFFFF"/>
            <w:tcMar>
              <w:top w:w="80" w:type="dxa"/>
              <w:start w:w="80" w:type="dxa"/>
              <w:bottom w:w="80" w:type="dxa"/>
              <w:end w:w="80" w:type="dxa"/>
            </w:tcMar>
            <w:vAlign w:val="top"/>
          </w:tcPr>
          <w:p>
            <w:r>
              <w:rPr>
                <w:rFonts w:ascii="Arial" w:hAnsi="Arial" w:eastAsia="Arial"/>
                <w:b/>
                <w:color w:val="4B0F4F"/>
                <w:sz w:val="14"/>
              </w:rPr>
              <w:t>S7</w:t>
            </w:r>
          </w:p>
        </w:tc>
        <w:tc>
          <w:tcPr>
            <w:tcW w:type="dxa" w:w="5600"/>
            <w:shd w:fill="FFFFFF"/>
            <w:tcMar>
              <w:top w:w="80" w:type="dxa"/>
              <w:start w:w="80" w:type="dxa"/>
              <w:bottom w:w="80" w:type="dxa"/>
              <w:end w:w="80" w:type="dxa"/>
            </w:tcMar>
            <w:vAlign w:val="top"/>
          </w:tcPr>
          <w:p>
            <w:r>
              <w:rPr>
                <w:rFonts w:ascii="Arial" w:hAnsi="Arial" w:eastAsia="Arial"/>
                <w:sz w:val="14"/>
              </w:rPr>
              <w:t>Chiffr’Agirc-Arrco, édition 2026, publication statistique officielle.</w:t>
            </w:r>
          </w:p>
        </w:tc>
        <w:tc>
          <w:tcPr>
            <w:tcW w:type="dxa" w:w="3600"/>
            <w:shd w:fill="FFFFFF"/>
            <w:tcMar>
              <w:top w:w="80" w:type="dxa"/>
              <w:start w:w="80" w:type="dxa"/>
              <w:bottom w:w="80" w:type="dxa"/>
              <w:end w:w="80" w:type="dxa"/>
            </w:tcMar>
            <w:vAlign w:val="top"/>
          </w:tcPr>
          <w:p>
            <w:r>
              <w:rPr>
                <w:rFonts w:ascii="Arial" w:hAnsi="Arial" w:eastAsia="Arial"/>
                <w:sz w:val="14"/>
              </w:rPr>
              <w:t>https://www.agirc-arrco.fr/storage/chiffrAA_2026_VF.pdf</w:t>
            </w:r>
          </w:p>
        </w:tc>
      </w:tr>
      <w:tr>
        <w:tc>
          <w:tcPr>
            <w:tcW w:type="dxa" w:w="800"/>
            <w:shd w:fill="F3F4F6"/>
            <w:tcMar>
              <w:top w:w="80" w:type="dxa"/>
              <w:start w:w="80" w:type="dxa"/>
              <w:bottom w:w="80" w:type="dxa"/>
              <w:end w:w="80" w:type="dxa"/>
            </w:tcMar>
            <w:vAlign w:val="top"/>
          </w:tcPr>
          <w:p>
            <w:r>
              <w:rPr>
                <w:rFonts w:ascii="Arial" w:hAnsi="Arial" w:eastAsia="Arial"/>
                <w:b/>
                <w:color w:val="4B0F4F"/>
                <w:sz w:val="14"/>
              </w:rPr>
              <w:t>S8</w:t>
            </w:r>
          </w:p>
        </w:tc>
        <w:tc>
          <w:tcPr>
            <w:tcW w:type="dxa" w:w="5600"/>
            <w:shd w:fill="F3F4F6"/>
            <w:tcMar>
              <w:top w:w="80" w:type="dxa"/>
              <w:start w:w="80" w:type="dxa"/>
              <w:bottom w:w="80" w:type="dxa"/>
              <w:end w:w="80" w:type="dxa"/>
            </w:tcMar>
            <w:vAlign w:val="top"/>
          </w:tcPr>
          <w:p>
            <w:r>
              <w:rPr>
                <w:rFonts w:ascii="Arial" w:hAnsi="Arial" w:eastAsia="Arial"/>
                <w:sz w:val="14"/>
              </w:rPr>
              <w:t>Rapport d’activité Agirc-Arrco 2025, page « Résultats de la gestion administrative ».</w:t>
            </w:r>
          </w:p>
        </w:tc>
        <w:tc>
          <w:tcPr>
            <w:tcW w:type="dxa" w:w="3600"/>
            <w:shd w:fill="F3F4F6"/>
            <w:tcMar>
              <w:top w:w="80" w:type="dxa"/>
              <w:start w:w="80" w:type="dxa"/>
              <w:bottom w:w="80" w:type="dxa"/>
              <w:end w:w="80" w:type="dxa"/>
            </w:tcMar>
            <w:vAlign w:val="top"/>
          </w:tcPr>
          <w:p>
            <w:r>
              <w:rPr>
                <w:rFonts w:ascii="Arial" w:hAnsi="Arial" w:eastAsia="Arial"/>
                <w:sz w:val="14"/>
              </w:rPr>
              <w:t>https://secure.webpublication.fr/463113/2644106/index-34.html</w:t>
            </w:r>
          </w:p>
        </w:tc>
      </w:tr>
    </w:tbl>
    <w:p>
      <w:r>
        <w:br w:type="page"/>
      </w:r>
    </w:p>
    <w:p>
      <w:r>
        <w:rPr>
          <w:b/>
          <w:color w:val="4B0F4F"/>
          <w:sz w:val="24"/>
        </w:rPr>
        <w:t>Glossaire rapide</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1800"/>
            <w:shd w:fill="F2673A"/>
            <w:tcMar>
              <w:top w:w="90" w:type="dxa"/>
              <w:start w:w="90" w:type="dxa"/>
              <w:bottom w:w="90" w:type="dxa"/>
              <w:end w:w="90" w:type="dxa"/>
            </w:tcMar>
            <w:vAlign w:val="top"/>
          </w:tcPr>
          <w:p>
            <w:pPr>
              <w:jc w:val="center"/>
            </w:pPr>
            <w:r>
              <w:rPr>
                <w:rFonts w:ascii="Arial" w:hAnsi="Arial" w:eastAsia="Arial"/>
                <w:b/>
                <w:color w:val="FFFFFF"/>
                <w:sz w:val="17"/>
              </w:rPr>
              <w:t>Terme</w:t>
            </w:r>
          </w:p>
        </w:tc>
        <w:tc>
          <w:tcPr>
            <w:tcW w:type="dxa" w:w="7600"/>
            <w:shd w:fill="F2673A"/>
            <w:tcMar>
              <w:top w:w="90" w:type="dxa"/>
              <w:start w:w="90" w:type="dxa"/>
              <w:bottom w:w="90" w:type="dxa"/>
              <w:end w:w="90" w:type="dxa"/>
            </w:tcMar>
            <w:vAlign w:val="top"/>
          </w:tcPr>
          <w:p>
            <w:pPr>
              <w:jc w:val="center"/>
            </w:pPr>
            <w:r>
              <w:rPr>
                <w:rFonts w:ascii="Arial" w:hAnsi="Arial" w:eastAsia="Arial"/>
                <w:b/>
                <w:color w:val="FFFFFF"/>
                <w:sz w:val="17"/>
              </w:rPr>
              <w:t>Définition utile</w:t>
            </w:r>
          </w:p>
        </w:tc>
      </w:tr>
      <w:tr>
        <w:tc>
          <w:tcPr>
            <w:tcW w:type="dxa" w:w="1800"/>
            <w:shd w:fill="FFFFFF"/>
            <w:tcMar>
              <w:top w:w="80" w:type="dxa"/>
              <w:start w:w="80" w:type="dxa"/>
              <w:bottom w:w="80" w:type="dxa"/>
              <w:end w:w="80" w:type="dxa"/>
            </w:tcMar>
            <w:vAlign w:val="top"/>
          </w:tcPr>
          <w:p>
            <w:r>
              <w:rPr>
                <w:rFonts w:ascii="Arial" w:hAnsi="Arial" w:eastAsia="Arial"/>
                <w:b/>
                <w:color w:val="4B0F4F"/>
                <w:sz w:val="17"/>
              </w:rPr>
              <w:t>COM</w:t>
            </w:r>
          </w:p>
        </w:tc>
        <w:tc>
          <w:tcPr>
            <w:tcW w:type="dxa" w:w="7600"/>
            <w:shd w:fill="FFFFFF"/>
            <w:tcMar>
              <w:top w:w="80" w:type="dxa"/>
              <w:start w:w="80" w:type="dxa"/>
              <w:bottom w:w="80" w:type="dxa"/>
              <w:end w:w="80" w:type="dxa"/>
            </w:tcMar>
            <w:vAlign w:val="top"/>
          </w:tcPr>
          <w:p>
            <w:r>
              <w:rPr>
                <w:rFonts w:ascii="Arial" w:hAnsi="Arial" w:eastAsia="Arial"/>
                <w:sz w:val="17"/>
              </w:rPr>
              <w:t>Contrat d’objectifs et de moyens ; feuille de route pluriannuelle avec indicateurs de qualité, efficience et performance.</w:t>
            </w:r>
          </w:p>
        </w:tc>
      </w:tr>
      <w:tr>
        <w:tc>
          <w:tcPr>
            <w:tcW w:type="dxa" w:w="1800"/>
            <w:shd w:fill="F3F4F6"/>
            <w:tcMar>
              <w:top w:w="80" w:type="dxa"/>
              <w:start w:w="80" w:type="dxa"/>
              <w:bottom w:w="80" w:type="dxa"/>
              <w:end w:w="80" w:type="dxa"/>
            </w:tcMar>
            <w:vAlign w:val="top"/>
          </w:tcPr>
          <w:p>
            <w:r>
              <w:rPr>
                <w:rFonts w:ascii="Arial" w:hAnsi="Arial" w:eastAsia="Arial"/>
                <w:b/>
                <w:color w:val="4B0F4F"/>
                <w:sz w:val="17"/>
              </w:rPr>
              <w:t>PTSI</w:t>
            </w:r>
          </w:p>
        </w:tc>
        <w:tc>
          <w:tcPr>
            <w:tcW w:type="dxa" w:w="7600"/>
            <w:shd w:fill="F3F4F6"/>
            <w:tcMar>
              <w:top w:w="80" w:type="dxa"/>
              <w:start w:w="80" w:type="dxa"/>
              <w:bottom w:w="80" w:type="dxa"/>
              <w:end w:w="80" w:type="dxa"/>
            </w:tcMar>
            <w:vAlign w:val="top"/>
          </w:tcPr>
          <w:p>
            <w:r>
              <w:rPr>
                <w:rFonts w:ascii="Arial" w:hAnsi="Arial" w:eastAsia="Arial"/>
                <w:sz w:val="17"/>
              </w:rPr>
              <w:t>Plan de transformation du système d’information de la retraite complémentaire, engagé en 2015 et présenté comme achevé en 2025.</w:t>
            </w:r>
          </w:p>
        </w:tc>
      </w:tr>
      <w:tr>
        <w:tc>
          <w:tcPr>
            <w:tcW w:type="dxa" w:w="1800"/>
            <w:shd w:fill="FFFFFF"/>
            <w:tcMar>
              <w:top w:w="80" w:type="dxa"/>
              <w:start w:w="80" w:type="dxa"/>
              <w:bottom w:w="80" w:type="dxa"/>
              <w:end w:w="80" w:type="dxa"/>
            </w:tcMar>
            <w:vAlign w:val="top"/>
          </w:tcPr>
          <w:p>
            <w:r>
              <w:rPr>
                <w:rFonts w:ascii="Arial" w:hAnsi="Arial" w:eastAsia="Arial"/>
                <w:b/>
                <w:color w:val="4B0F4F"/>
                <w:sz w:val="17"/>
              </w:rPr>
              <w:t>RéSIlience</w:t>
            </w:r>
          </w:p>
        </w:tc>
        <w:tc>
          <w:tcPr>
            <w:tcW w:type="dxa" w:w="7600"/>
            <w:shd w:fill="FFFFFF"/>
            <w:tcMar>
              <w:top w:w="80" w:type="dxa"/>
              <w:start w:w="80" w:type="dxa"/>
              <w:bottom w:w="80" w:type="dxa"/>
              <w:end w:w="80" w:type="dxa"/>
            </w:tcMar>
            <w:vAlign w:val="top"/>
          </w:tcPr>
          <w:p>
            <w:r>
              <w:rPr>
                <w:rFonts w:ascii="Arial" w:hAnsi="Arial" w:eastAsia="Arial"/>
                <w:sz w:val="17"/>
              </w:rPr>
              <w:t>Programme pluriannuel de robustesse et de continuité de fonctionnement du SI.</w:t>
            </w:r>
          </w:p>
        </w:tc>
      </w:tr>
      <w:tr>
        <w:tc>
          <w:tcPr>
            <w:tcW w:type="dxa" w:w="1800"/>
            <w:shd w:fill="F3F4F6"/>
            <w:tcMar>
              <w:top w:w="80" w:type="dxa"/>
              <w:start w:w="80" w:type="dxa"/>
              <w:bottom w:w="80" w:type="dxa"/>
              <w:end w:w="80" w:type="dxa"/>
            </w:tcMar>
            <w:vAlign w:val="top"/>
          </w:tcPr>
          <w:p>
            <w:r>
              <w:rPr>
                <w:rFonts w:ascii="Arial" w:hAnsi="Arial" w:eastAsia="Arial"/>
                <w:b/>
                <w:color w:val="4B0F4F"/>
                <w:sz w:val="17"/>
              </w:rPr>
              <w:t>SMI2</w:t>
            </w:r>
          </w:p>
        </w:tc>
        <w:tc>
          <w:tcPr>
            <w:tcW w:type="dxa" w:w="7600"/>
            <w:shd w:fill="F3F4F6"/>
            <w:tcMar>
              <w:top w:w="80" w:type="dxa"/>
              <w:start w:w="80" w:type="dxa"/>
              <w:bottom w:w="80" w:type="dxa"/>
              <w:end w:w="80" w:type="dxa"/>
            </w:tcMar>
            <w:vAlign w:val="top"/>
          </w:tcPr>
          <w:p>
            <w:r>
              <w:rPr>
                <w:rFonts w:ascii="Arial" w:hAnsi="Arial" w:eastAsia="Arial"/>
                <w:sz w:val="17"/>
              </w:rPr>
              <w:t>Système modulaire et intelligent intégré ; nouveau programme DSI-RC lancé fin 2025.</w:t>
            </w:r>
          </w:p>
        </w:tc>
      </w:tr>
      <w:tr>
        <w:tc>
          <w:tcPr>
            <w:tcW w:type="dxa" w:w="1800"/>
            <w:shd w:fill="FFFFFF"/>
            <w:tcMar>
              <w:top w:w="80" w:type="dxa"/>
              <w:start w:w="80" w:type="dxa"/>
              <w:bottom w:w="80" w:type="dxa"/>
              <w:end w:w="80" w:type="dxa"/>
            </w:tcMar>
            <w:vAlign w:val="top"/>
          </w:tcPr>
          <w:p>
            <w:r>
              <w:rPr>
                <w:rFonts w:ascii="Arial" w:hAnsi="Arial" w:eastAsia="Arial"/>
                <w:b/>
                <w:color w:val="4B0F4F"/>
                <w:sz w:val="17"/>
              </w:rPr>
              <w:t>ROSE</w:t>
            </w:r>
          </w:p>
        </w:tc>
        <w:tc>
          <w:tcPr>
            <w:tcW w:type="dxa" w:w="7600"/>
            <w:shd w:fill="FFFFFF"/>
            <w:tcMar>
              <w:top w:w="80" w:type="dxa"/>
              <w:start w:w="80" w:type="dxa"/>
              <w:bottom w:w="80" w:type="dxa"/>
              <w:end w:w="80" w:type="dxa"/>
            </w:tcMar>
            <w:vAlign w:val="top"/>
          </w:tcPr>
          <w:p>
            <w:r>
              <w:rPr>
                <w:rFonts w:ascii="Arial" w:hAnsi="Arial" w:eastAsia="Arial"/>
                <w:sz w:val="17"/>
              </w:rPr>
              <w:t>Programme Relation client et offre de services aux entreprises.</w:t>
            </w:r>
          </w:p>
        </w:tc>
      </w:tr>
      <w:tr>
        <w:tc>
          <w:tcPr>
            <w:tcW w:type="dxa" w:w="1800"/>
            <w:shd w:fill="F3F4F6"/>
            <w:tcMar>
              <w:top w:w="80" w:type="dxa"/>
              <w:start w:w="80" w:type="dxa"/>
              <w:bottom w:w="80" w:type="dxa"/>
              <w:end w:w="80" w:type="dxa"/>
            </w:tcMar>
            <w:vAlign w:val="top"/>
          </w:tcPr>
          <w:p>
            <w:r>
              <w:rPr>
                <w:rFonts w:ascii="Arial" w:hAnsi="Arial" w:eastAsia="Arial"/>
                <w:b/>
                <w:color w:val="4B0F4F"/>
                <w:sz w:val="17"/>
              </w:rPr>
              <w:t>DSN-Fiab</w:t>
            </w:r>
          </w:p>
        </w:tc>
        <w:tc>
          <w:tcPr>
            <w:tcW w:type="dxa" w:w="7600"/>
            <w:shd w:fill="F3F4F6"/>
            <w:tcMar>
              <w:top w:w="80" w:type="dxa"/>
              <w:start w:w="80" w:type="dxa"/>
              <w:bottom w:w="80" w:type="dxa"/>
              <w:end w:w="80" w:type="dxa"/>
            </w:tcMar>
            <w:vAlign w:val="top"/>
          </w:tcPr>
          <w:p>
            <w:r>
              <w:rPr>
                <w:rFonts w:ascii="Arial" w:hAnsi="Arial" w:eastAsia="Arial"/>
                <w:sz w:val="17"/>
              </w:rPr>
              <w:t>Outil de fiabilisation des déclarations sociales nominatives destiné aux entreprises et déclarants.</w:t>
            </w:r>
          </w:p>
        </w:tc>
      </w:tr>
      <w:tr>
        <w:tc>
          <w:tcPr>
            <w:tcW w:type="dxa" w:w="1800"/>
            <w:shd w:fill="FFFFFF"/>
            <w:tcMar>
              <w:top w:w="80" w:type="dxa"/>
              <w:start w:w="80" w:type="dxa"/>
              <w:bottom w:w="80" w:type="dxa"/>
              <w:end w:w="80" w:type="dxa"/>
            </w:tcMar>
            <w:vAlign w:val="top"/>
          </w:tcPr>
          <w:p>
            <w:r>
              <w:rPr>
                <w:rFonts w:ascii="Arial" w:hAnsi="Arial" w:eastAsia="Arial"/>
                <w:b/>
                <w:color w:val="4B0F4F"/>
                <w:sz w:val="17"/>
              </w:rPr>
              <w:t>CNRI</w:t>
            </w:r>
          </w:p>
        </w:tc>
        <w:tc>
          <w:tcPr>
            <w:tcW w:type="dxa" w:w="7600"/>
            <w:shd w:fill="FFFFFF"/>
            <w:tcMar>
              <w:top w:w="80" w:type="dxa"/>
              <w:start w:w="80" w:type="dxa"/>
              <w:bottom w:w="80" w:type="dxa"/>
              <w:end w:w="80" w:type="dxa"/>
            </w:tcMar>
            <w:vAlign w:val="top"/>
          </w:tcPr>
          <w:p>
            <w:r>
              <w:rPr>
                <w:rFonts w:ascii="Arial" w:hAnsi="Arial" w:eastAsia="Arial"/>
                <w:sz w:val="17"/>
              </w:rPr>
              <w:t>Centre National de Recette et d’Intégration.</w:t>
            </w:r>
          </w:p>
        </w:tc>
      </w:tr>
      <w:tr>
        <w:tc>
          <w:tcPr>
            <w:tcW w:type="dxa" w:w="1800"/>
            <w:shd w:fill="F3F4F6"/>
            <w:tcMar>
              <w:top w:w="80" w:type="dxa"/>
              <w:start w:w="80" w:type="dxa"/>
              <w:bottom w:w="80" w:type="dxa"/>
              <w:end w:w="80" w:type="dxa"/>
            </w:tcMar>
            <w:vAlign w:val="top"/>
          </w:tcPr>
          <w:p>
            <w:r>
              <w:rPr>
                <w:rFonts w:ascii="Arial" w:hAnsi="Arial" w:eastAsia="Arial"/>
                <w:b/>
                <w:color w:val="4B0F4F"/>
                <w:sz w:val="17"/>
              </w:rPr>
              <w:t>DRCP</w:t>
            </w:r>
          </w:p>
        </w:tc>
        <w:tc>
          <w:tcPr>
            <w:tcW w:type="dxa" w:w="7600"/>
            <w:shd w:fill="F3F4F6"/>
            <w:tcMar>
              <w:top w:w="80" w:type="dxa"/>
              <w:start w:w="80" w:type="dxa"/>
              <w:bottom w:w="80" w:type="dxa"/>
              <w:end w:w="80" w:type="dxa"/>
            </w:tcMar>
            <w:vAlign w:val="top"/>
          </w:tcPr>
          <w:p>
            <w:r>
              <w:rPr>
                <w:rFonts w:ascii="Arial" w:hAnsi="Arial" w:eastAsia="Arial"/>
                <w:sz w:val="17"/>
              </w:rPr>
              <w:t>Direction Relation Client et Production.</w:t>
            </w:r>
          </w:p>
        </w:tc>
      </w:tr>
      <w:tr>
        <w:tc>
          <w:tcPr>
            <w:tcW w:type="dxa" w:w="1800"/>
            <w:shd w:fill="FFFFFF"/>
            <w:tcMar>
              <w:top w:w="80" w:type="dxa"/>
              <w:start w:w="80" w:type="dxa"/>
              <w:bottom w:w="80" w:type="dxa"/>
              <w:end w:w="80" w:type="dxa"/>
            </w:tcMar>
            <w:vAlign w:val="top"/>
          </w:tcPr>
          <w:p>
            <w:r>
              <w:rPr>
                <w:rFonts w:ascii="Arial" w:hAnsi="Arial" w:eastAsia="Arial"/>
                <w:b/>
                <w:color w:val="4B0F4F"/>
                <w:sz w:val="17"/>
              </w:rPr>
              <w:t>DTI</w:t>
            </w:r>
          </w:p>
        </w:tc>
        <w:tc>
          <w:tcPr>
            <w:tcW w:type="dxa" w:w="7600"/>
            <w:shd w:fill="FFFFFF"/>
            <w:tcMar>
              <w:top w:w="80" w:type="dxa"/>
              <w:start w:w="80" w:type="dxa"/>
              <w:bottom w:w="80" w:type="dxa"/>
              <w:end w:w="80" w:type="dxa"/>
            </w:tcMar>
            <w:vAlign w:val="top"/>
          </w:tcPr>
          <w:p>
            <w:r>
              <w:rPr>
                <w:rFonts w:ascii="Arial" w:hAnsi="Arial" w:eastAsia="Arial"/>
                <w:sz w:val="17"/>
              </w:rPr>
              <w:t>Direction Technique Informatique.</w:t>
            </w:r>
          </w:p>
        </w:tc>
      </w:tr>
    </w:tbl>
    <w:sectPr w:rsidR="00FC693F" w:rsidRPr="0006063C" w:rsidSect="00034616">
      <w:footerReference w:type="default" r:id="rId9"/>
      <w:pgSz w:w="12240" w:h="15840"/>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777777"/>
        <w:sz w:val="16"/>
      </w:rPr>
      <w:t>Document de travail commercial - Agirc-Arrco / DSI-RC - 2026-2027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6C1D7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B0F4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F2673A"/>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6C1D7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Contexte activité 2026-2027 Agirc-Arrco DSI</dc:title>
  <dc:subject>Document de travail commercial</dc:subject>
  <dc:creator>OpenAI</dc:creator>
  <cp:keywords/>
  <dc:description>Sources publiques - document de travail</dc:description>
  <cp:lastModifiedBy/>
  <cp:revision>1</cp:revision>
  <dcterms:created xsi:type="dcterms:W3CDTF">2013-12-23T23:15:00Z</dcterms:created>
  <dcterms:modified xsi:type="dcterms:W3CDTF">2013-12-23T23:15:00Z</dcterms:modified>
  <cp:category/>
</cp:coreProperties>
</file>